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b/>
          <w:bCs/>
          <w:sz w:val="36"/>
          <w:szCs w:val="36"/>
        </w:rPr>
      </w:pPr>
      <w:r>
        <w:rPr>
          <w:rFonts w:hint="eastAsia" w:ascii="Times New Roman" w:hAnsi="宋体"/>
          <w:b/>
          <w:bCs/>
          <w:sz w:val="36"/>
          <w:szCs w:val="36"/>
          <w:lang w:eastAsia="zh-CN"/>
        </w:rPr>
        <w:t>东莞英浩新能源科技有限公司</w:t>
      </w:r>
      <w:r>
        <w:rPr>
          <w:rFonts w:hint="eastAsia" w:ascii="Times New Roman" w:hAnsi="Times New Roman"/>
          <w:b/>
          <w:bCs/>
          <w:sz w:val="36"/>
          <w:szCs w:val="36"/>
        </w:rPr>
        <w:t>（</w:t>
      </w:r>
      <w:r>
        <w:rPr>
          <w:rFonts w:hint="eastAsia" w:ascii="Times New Roman" w:hAnsi="Times New Roman"/>
          <w:b/>
          <w:bCs/>
          <w:sz w:val="36"/>
          <w:szCs w:val="36"/>
          <w:lang w:eastAsia="zh-CN"/>
        </w:rPr>
        <w:t>新</w:t>
      </w:r>
      <w:r>
        <w:rPr>
          <w:rFonts w:hint="eastAsia" w:ascii="Times New Roman" w:hAnsi="宋体"/>
          <w:b/>
          <w:bCs/>
          <w:sz w:val="36"/>
          <w:szCs w:val="36"/>
        </w:rPr>
        <w:t>建）项目</w:t>
      </w:r>
    </w:p>
    <w:p>
      <w:pPr>
        <w:spacing w:line="700" w:lineRule="exact"/>
        <w:jc w:val="center"/>
        <w:rPr>
          <w:rFonts w:ascii="Times New Roman" w:hAnsi="Times New Roman"/>
          <w:sz w:val="28"/>
          <w:szCs w:val="28"/>
        </w:rPr>
      </w:pPr>
      <w:r>
        <w:rPr>
          <w:rFonts w:hint="eastAsia" w:ascii="Times New Roman" w:hAnsi="宋体"/>
          <w:b/>
          <w:bCs/>
          <w:sz w:val="36"/>
          <w:szCs w:val="36"/>
        </w:rPr>
        <w:t>废水、废气、噪声竣工环境保护验收意见</w:t>
      </w:r>
    </w:p>
    <w:p>
      <w:pPr>
        <w:spacing w:line="580" w:lineRule="exact"/>
        <w:ind w:firstLine="560" w:firstLineChars="200"/>
        <w:rPr>
          <w:rFonts w:ascii="Times New Roman" w:hAnsi="Times New Roman"/>
          <w:sz w:val="28"/>
          <w:szCs w:val="28"/>
        </w:rPr>
      </w:pPr>
    </w:p>
    <w:p>
      <w:pPr>
        <w:spacing w:line="360" w:lineRule="auto"/>
        <w:ind w:firstLine="560" w:firstLineChars="200"/>
        <w:rPr>
          <w:rFonts w:ascii="Times New Roman" w:hAnsi="Times New Roman"/>
          <w:color w:val="0000FF"/>
          <w:sz w:val="28"/>
          <w:szCs w:val="28"/>
        </w:rPr>
      </w:pPr>
      <w:r>
        <w:rPr>
          <w:rFonts w:ascii="Times New Roman" w:hAnsi="Times New Roman"/>
          <w:sz w:val="28"/>
          <w:szCs w:val="28"/>
        </w:rPr>
        <w:t>2019</w:t>
      </w:r>
      <w:r>
        <w:rPr>
          <w:rFonts w:hint="eastAsia" w:ascii="Times New Roman" w:hAnsi="宋体"/>
          <w:sz w:val="28"/>
          <w:szCs w:val="28"/>
        </w:rPr>
        <w:t>年</w:t>
      </w:r>
      <w:r>
        <w:rPr>
          <w:rFonts w:hint="eastAsia" w:ascii="Times New Roman" w:hAnsi="Times New Roman"/>
          <w:sz w:val="28"/>
          <w:szCs w:val="28"/>
          <w:lang w:val="en-US" w:eastAsia="zh-CN"/>
        </w:rPr>
        <w:t>8</w:t>
      </w:r>
      <w:r>
        <w:rPr>
          <w:rFonts w:hint="eastAsia" w:ascii="Times New Roman" w:hAnsi="宋体"/>
          <w:sz w:val="28"/>
          <w:szCs w:val="28"/>
        </w:rPr>
        <w:t>月</w:t>
      </w:r>
      <w:r>
        <w:rPr>
          <w:rFonts w:hint="eastAsia" w:ascii="Times New Roman" w:hAnsi="Times New Roman"/>
          <w:sz w:val="28"/>
          <w:szCs w:val="28"/>
          <w:lang w:val="en-US" w:eastAsia="zh-CN"/>
        </w:rPr>
        <w:t>1</w:t>
      </w:r>
      <w:r>
        <w:rPr>
          <w:rFonts w:hint="eastAsia" w:ascii="Times New Roman" w:hAnsi="宋体"/>
          <w:sz w:val="28"/>
          <w:szCs w:val="28"/>
        </w:rPr>
        <w:t>日，</w:t>
      </w:r>
      <w:r>
        <w:rPr>
          <w:rFonts w:hint="eastAsia" w:ascii="Times New Roman" w:hAnsi="宋体"/>
          <w:sz w:val="28"/>
          <w:szCs w:val="28"/>
          <w:lang w:eastAsia="zh-CN"/>
        </w:rPr>
        <w:t>东莞英浩新能源科技有限公司</w:t>
      </w:r>
      <w:r>
        <w:rPr>
          <w:rFonts w:hint="eastAsia" w:ascii="Times New Roman" w:hAnsi="宋体"/>
          <w:sz w:val="28"/>
          <w:szCs w:val="28"/>
        </w:rPr>
        <w:t>根据</w:t>
      </w:r>
      <w:r>
        <w:rPr>
          <w:rFonts w:hint="eastAsia" w:ascii="Times New Roman" w:hAnsi="宋体"/>
          <w:sz w:val="28"/>
          <w:szCs w:val="28"/>
          <w:lang w:eastAsia="zh-CN"/>
        </w:rPr>
        <w:t>东莞英浩新能源科技有限公司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一、工程建设基本情况</w:t>
      </w:r>
      <w:r>
        <w:rPr>
          <w:rFonts w:ascii="Times New Roman" w:hAnsi="Times New Roman"/>
          <w:b/>
          <w:sz w:val="28"/>
          <w:szCs w:val="28"/>
        </w:rPr>
        <w:t xml:space="preserve"> </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（一）建设地点、规模、主要建设内容</w:t>
      </w:r>
    </w:p>
    <w:p>
      <w:pPr>
        <w:spacing w:line="360" w:lineRule="auto"/>
        <w:ind w:firstLine="560" w:firstLineChars="200"/>
        <w:rPr>
          <w:rFonts w:ascii="Times New Roman" w:hAnsi="Times New Roman"/>
          <w:sz w:val="28"/>
          <w:szCs w:val="28"/>
        </w:rPr>
      </w:pPr>
      <w:r>
        <w:rPr>
          <w:rFonts w:hint="eastAsia" w:ascii="Times New Roman" w:hAnsi="Times New Roman"/>
          <w:sz w:val="28"/>
          <w:szCs w:val="28"/>
          <w:lang w:eastAsia="zh-CN"/>
        </w:rPr>
        <w:t>东莞英浩新能源科技有限公司</w:t>
      </w:r>
      <w:r>
        <w:rPr>
          <w:rFonts w:hint="eastAsia" w:ascii="Times New Roman" w:hAnsi="Times New Roman"/>
          <w:sz w:val="28"/>
          <w:szCs w:val="28"/>
        </w:rPr>
        <w:t>位于东莞市黄江镇</w:t>
      </w:r>
      <w:r>
        <w:rPr>
          <w:rFonts w:hint="eastAsia" w:ascii="Times New Roman" w:hAnsi="Times New Roman"/>
          <w:sz w:val="28"/>
          <w:szCs w:val="28"/>
          <w:lang w:eastAsia="zh-CN"/>
        </w:rPr>
        <w:t>社贝村明珠二路</w:t>
      </w:r>
      <w:r>
        <w:rPr>
          <w:rFonts w:hint="eastAsia" w:ascii="Times New Roman" w:hAnsi="Times New Roman"/>
          <w:sz w:val="28"/>
          <w:szCs w:val="28"/>
          <w:lang w:val="en-US" w:eastAsia="zh-CN"/>
        </w:rPr>
        <w:t>6号</w:t>
      </w:r>
      <w:r>
        <w:rPr>
          <w:rFonts w:hint="eastAsia" w:ascii="Times New Roman" w:hAnsi="Times New Roman"/>
          <w:sz w:val="28"/>
          <w:szCs w:val="28"/>
        </w:rPr>
        <w:t>（北纬：</w:t>
      </w:r>
      <w:r>
        <w:rPr>
          <w:rFonts w:ascii="Times New Roman" w:hAnsi="Times New Roman"/>
          <w:sz w:val="28"/>
          <w:szCs w:val="28"/>
        </w:rPr>
        <w:t>22°</w:t>
      </w:r>
      <w:r>
        <w:rPr>
          <w:rFonts w:hint="eastAsia" w:ascii="Times New Roman" w:hAnsi="Times New Roman"/>
          <w:sz w:val="28"/>
          <w:szCs w:val="28"/>
          <w:lang w:val="en-US" w:eastAsia="zh-CN"/>
        </w:rPr>
        <w:t>55</w:t>
      </w:r>
      <w:r>
        <w:rPr>
          <w:rFonts w:ascii="Times New Roman" w:hAnsi="Times New Roman"/>
          <w:sz w:val="28"/>
          <w:szCs w:val="28"/>
        </w:rPr>
        <w:t>′</w:t>
      </w:r>
      <w:r>
        <w:rPr>
          <w:rFonts w:hint="eastAsia" w:ascii="Times New Roman" w:hAnsi="Times New Roman"/>
          <w:sz w:val="28"/>
          <w:szCs w:val="28"/>
          <w:lang w:val="en-US" w:eastAsia="zh-CN"/>
        </w:rPr>
        <w:t>31.97</w:t>
      </w:r>
      <w:r>
        <w:rPr>
          <w:rFonts w:ascii="Times New Roman" w:hAnsi="Times New Roman"/>
          <w:sz w:val="28"/>
          <w:szCs w:val="28"/>
        </w:rPr>
        <w:t>″</w:t>
      </w:r>
      <w:r>
        <w:rPr>
          <w:rFonts w:hint="eastAsia" w:ascii="Times New Roman" w:hAnsi="Times New Roman"/>
          <w:sz w:val="28"/>
          <w:szCs w:val="28"/>
        </w:rPr>
        <w:t>；东经</w:t>
      </w:r>
      <w:r>
        <w:rPr>
          <w:rFonts w:ascii="Times New Roman" w:hAnsi="Times New Roman"/>
          <w:sz w:val="28"/>
          <w:szCs w:val="28"/>
        </w:rPr>
        <w:t>11</w:t>
      </w:r>
      <w:r>
        <w:rPr>
          <w:rFonts w:hint="eastAsia" w:ascii="Times New Roman" w:hAnsi="Times New Roman"/>
          <w:sz w:val="28"/>
          <w:szCs w:val="28"/>
          <w:lang w:val="en-US" w:eastAsia="zh-CN"/>
        </w:rPr>
        <w:t>4</w:t>
      </w:r>
      <w:r>
        <w:rPr>
          <w:rFonts w:ascii="Times New Roman" w:hAnsi="Times New Roman"/>
          <w:sz w:val="28"/>
          <w:szCs w:val="28"/>
        </w:rPr>
        <w:t>°</w:t>
      </w:r>
      <w:r>
        <w:rPr>
          <w:rFonts w:hint="eastAsia" w:ascii="Times New Roman" w:hAnsi="Times New Roman"/>
          <w:sz w:val="28"/>
          <w:szCs w:val="28"/>
          <w:lang w:val="en-US" w:eastAsia="zh-CN"/>
        </w:rPr>
        <w:t>01</w:t>
      </w:r>
      <w:r>
        <w:rPr>
          <w:rFonts w:ascii="Times New Roman" w:hAnsi="Times New Roman"/>
          <w:sz w:val="28"/>
          <w:szCs w:val="28"/>
        </w:rPr>
        <w:t>′</w:t>
      </w:r>
      <w:r>
        <w:rPr>
          <w:rFonts w:hint="eastAsia" w:ascii="Times New Roman" w:hAnsi="Times New Roman"/>
          <w:sz w:val="28"/>
          <w:szCs w:val="28"/>
          <w:lang w:val="en-US" w:eastAsia="zh-CN"/>
        </w:rPr>
        <w:t>24.13</w:t>
      </w:r>
      <w:r>
        <w:rPr>
          <w:rFonts w:ascii="Times New Roman" w:hAnsi="Times New Roman"/>
          <w:sz w:val="28"/>
          <w:szCs w:val="28"/>
        </w:rPr>
        <w:t>″</w:t>
      </w:r>
      <w:r>
        <w:rPr>
          <w:rFonts w:hint="eastAsia" w:ascii="Times New Roman" w:hAnsi="Times New Roman"/>
          <w:sz w:val="28"/>
          <w:szCs w:val="28"/>
        </w:rPr>
        <w:t>）。项目总投资</w:t>
      </w:r>
      <w:r>
        <w:rPr>
          <w:rFonts w:hint="eastAsia" w:ascii="Times New Roman" w:hAnsi="Times New Roman"/>
          <w:sz w:val="28"/>
          <w:szCs w:val="28"/>
          <w:lang w:val="en-US" w:eastAsia="zh-CN"/>
        </w:rPr>
        <w:t>100</w:t>
      </w:r>
      <w:r>
        <w:rPr>
          <w:rFonts w:hint="eastAsia" w:ascii="Times New Roman" w:hAnsi="Times New Roman"/>
          <w:sz w:val="28"/>
          <w:szCs w:val="28"/>
        </w:rPr>
        <w:t>万元，项目占地面积</w:t>
      </w:r>
      <w:r>
        <w:rPr>
          <w:rFonts w:hint="eastAsia" w:ascii="Times New Roman" w:hAnsi="Times New Roman"/>
          <w:sz w:val="28"/>
          <w:szCs w:val="28"/>
          <w:lang w:val="en-US" w:eastAsia="zh-CN"/>
        </w:rPr>
        <w:t>4200</w:t>
      </w:r>
      <w:r>
        <w:rPr>
          <w:rFonts w:hint="eastAsia" w:ascii="Times New Roman" w:hAnsi="Times New Roman"/>
          <w:sz w:val="28"/>
          <w:szCs w:val="28"/>
        </w:rPr>
        <w:t>平方米，建筑面积</w:t>
      </w:r>
      <w:r>
        <w:rPr>
          <w:rFonts w:hint="eastAsia" w:ascii="Times New Roman" w:hAnsi="Times New Roman"/>
          <w:sz w:val="28"/>
          <w:szCs w:val="28"/>
          <w:lang w:val="en-US" w:eastAsia="zh-CN"/>
        </w:rPr>
        <w:t>10700</w:t>
      </w:r>
      <w:r>
        <w:rPr>
          <w:rFonts w:hint="eastAsia" w:ascii="Times New Roman" w:hAnsi="Times New Roman"/>
          <w:sz w:val="28"/>
          <w:szCs w:val="28"/>
        </w:rPr>
        <w:t>平方米。项目主要从事</w:t>
      </w:r>
      <w:r>
        <w:rPr>
          <w:rFonts w:hint="eastAsia" w:ascii="Times New Roman" w:hAnsi="Times New Roman"/>
          <w:sz w:val="28"/>
          <w:szCs w:val="28"/>
          <w:lang w:eastAsia="zh-CN"/>
        </w:rPr>
        <w:t>五金配件、塑胶配件、硅胶配件的加工</w:t>
      </w:r>
      <w:r>
        <w:rPr>
          <w:rFonts w:hint="eastAsia" w:ascii="Times New Roman" w:hAnsi="Times New Roman"/>
          <w:sz w:val="28"/>
          <w:szCs w:val="28"/>
        </w:rPr>
        <w:t>生产，属于一家小型规模企业。项目年生产</w:t>
      </w:r>
      <w:r>
        <w:rPr>
          <w:rFonts w:hint="eastAsia" w:ascii="Times New Roman" w:hAnsi="Times New Roman"/>
          <w:sz w:val="28"/>
          <w:szCs w:val="28"/>
          <w:lang w:eastAsia="zh-CN"/>
        </w:rPr>
        <w:t>五金配件</w:t>
      </w:r>
      <w:r>
        <w:rPr>
          <w:rFonts w:hint="eastAsia" w:ascii="Times New Roman" w:hAnsi="Times New Roman"/>
          <w:sz w:val="28"/>
          <w:szCs w:val="28"/>
          <w:lang w:val="en-US" w:eastAsia="zh-CN"/>
        </w:rPr>
        <w:t>100吨、塑胶配件12吨。硅胶配件7吨</w:t>
      </w:r>
      <w:r>
        <w:rPr>
          <w:rFonts w:hint="eastAsia" w:ascii="Times New Roman" w:hAnsi="Times New Roman"/>
          <w:sz w:val="28"/>
          <w:szCs w:val="28"/>
        </w:rPr>
        <w:t>。项目主要设备为：</w:t>
      </w:r>
      <w:r>
        <w:rPr>
          <w:rFonts w:hint="eastAsia" w:ascii="Times New Roman" w:hAnsi="Times New Roman"/>
          <w:sz w:val="28"/>
          <w:szCs w:val="28"/>
          <w:lang w:eastAsia="zh-CN"/>
        </w:rPr>
        <w:t>注塑机</w:t>
      </w:r>
      <w:r>
        <w:rPr>
          <w:rFonts w:hint="eastAsia" w:ascii="Times New Roman" w:hAnsi="Times New Roman"/>
          <w:sz w:val="28"/>
          <w:szCs w:val="28"/>
          <w:lang w:val="en-US" w:eastAsia="zh-CN"/>
        </w:rPr>
        <w:t>12台、立式注塑机4台、炼胶机3台、铣床4台</w:t>
      </w:r>
      <w:r>
        <w:rPr>
          <w:rFonts w:hint="eastAsia" w:ascii="Times New Roman" w:hAnsi="Times New Roman"/>
          <w:sz w:val="28"/>
          <w:szCs w:val="28"/>
        </w:rPr>
        <w:t>等</w:t>
      </w:r>
      <w:r>
        <w:rPr>
          <w:rFonts w:hint="eastAsia" w:ascii="Times New Roman" w:hAnsi="Times New Roman"/>
          <w:sz w:val="28"/>
          <w:szCs w:val="28"/>
          <w:lang w:eastAsia="zh-CN"/>
        </w:rPr>
        <w:t>设备</w:t>
      </w:r>
      <w:r>
        <w:rPr>
          <w:rFonts w:hint="eastAsia" w:ascii="Times New Roman" w:hAnsi="Times New Roman"/>
          <w:sz w:val="28"/>
          <w:szCs w:val="28"/>
        </w:rPr>
        <w:t>（具体生产设备详见该项目报告表或者验收报告）。</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（二）建设过程及环保审批情况</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东莞英浩新能源科技有限公司</w:t>
      </w:r>
      <w:r>
        <w:rPr>
          <w:rFonts w:hint="eastAsia" w:ascii="Times New Roman" w:hAnsi="宋体"/>
          <w:sz w:val="28"/>
          <w:szCs w:val="28"/>
        </w:rPr>
        <w:t>于</w:t>
      </w:r>
      <w:r>
        <w:rPr>
          <w:rFonts w:ascii="Times New Roman" w:hAnsi="Times New Roman"/>
          <w:sz w:val="28"/>
          <w:szCs w:val="28"/>
        </w:rPr>
        <w:t>201</w:t>
      </w:r>
      <w:r>
        <w:rPr>
          <w:rFonts w:hint="eastAsia" w:ascii="Times New Roman" w:hAnsi="Times New Roman"/>
          <w:sz w:val="28"/>
          <w:szCs w:val="28"/>
          <w:lang w:val="en-US" w:eastAsia="zh-CN"/>
        </w:rPr>
        <w:t>9</w:t>
      </w:r>
      <w:r>
        <w:rPr>
          <w:rFonts w:hint="eastAsia" w:ascii="Times New Roman" w:hAnsi="宋体"/>
          <w:sz w:val="28"/>
          <w:szCs w:val="28"/>
        </w:rPr>
        <w:t>年</w:t>
      </w:r>
      <w:r>
        <w:rPr>
          <w:rFonts w:hint="eastAsia" w:ascii="Times New Roman" w:hAnsi="Times New Roman"/>
          <w:sz w:val="28"/>
          <w:szCs w:val="28"/>
          <w:lang w:val="en-US" w:eastAsia="zh-CN"/>
        </w:rPr>
        <w:t>4</w:t>
      </w:r>
      <w:r>
        <w:rPr>
          <w:rFonts w:hint="eastAsia" w:ascii="Times New Roman" w:hAnsi="宋体"/>
          <w:sz w:val="28"/>
          <w:szCs w:val="28"/>
        </w:rPr>
        <w:t>月委托</w:t>
      </w:r>
      <w:r>
        <w:rPr>
          <w:rFonts w:hint="eastAsia" w:ascii="Times New Roman" w:hAnsi="宋体"/>
          <w:sz w:val="28"/>
          <w:szCs w:val="28"/>
          <w:lang w:eastAsia="zh-CN"/>
        </w:rPr>
        <w:t>福州闽涵环保工程</w:t>
      </w:r>
      <w:r>
        <w:rPr>
          <w:rFonts w:hint="eastAsia" w:ascii="Times New Roman" w:hAnsi="宋体"/>
          <w:sz w:val="28"/>
          <w:szCs w:val="28"/>
        </w:rPr>
        <w:t>有限公司编制了《</w:t>
      </w:r>
      <w:r>
        <w:rPr>
          <w:rFonts w:hint="eastAsia" w:ascii="Times New Roman" w:hAnsi="宋体"/>
          <w:sz w:val="28"/>
          <w:szCs w:val="28"/>
          <w:lang w:eastAsia="zh-CN"/>
        </w:rPr>
        <w:t>东莞英浩新能源科技有限公司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建）项目环境影响报告表》，并于</w:t>
      </w:r>
      <w:r>
        <w:rPr>
          <w:rFonts w:ascii="Times New Roman" w:hAnsi="Times New Roman"/>
          <w:sz w:val="28"/>
          <w:szCs w:val="28"/>
        </w:rPr>
        <w:t>2019</w:t>
      </w:r>
      <w:r>
        <w:rPr>
          <w:rFonts w:hint="eastAsia" w:ascii="Times New Roman" w:hAnsi="宋体"/>
          <w:sz w:val="28"/>
          <w:szCs w:val="28"/>
        </w:rPr>
        <w:t>年</w:t>
      </w:r>
      <w:r>
        <w:rPr>
          <w:rFonts w:hint="eastAsia" w:ascii="Times New Roman" w:hAnsi="Times New Roman"/>
          <w:sz w:val="28"/>
          <w:szCs w:val="28"/>
          <w:lang w:val="en-US" w:eastAsia="zh-CN"/>
        </w:rPr>
        <w:t>5</w:t>
      </w:r>
      <w:r>
        <w:rPr>
          <w:rFonts w:hint="eastAsia" w:ascii="Times New Roman" w:hAnsi="宋体"/>
          <w:sz w:val="28"/>
          <w:szCs w:val="28"/>
        </w:rPr>
        <w:t>月</w:t>
      </w:r>
      <w:r>
        <w:rPr>
          <w:rFonts w:hint="eastAsia" w:ascii="Times New Roman" w:hAnsi="Times New Roman"/>
          <w:sz w:val="28"/>
          <w:szCs w:val="28"/>
          <w:lang w:val="en-US" w:eastAsia="zh-CN"/>
        </w:rPr>
        <w:t>14</w:t>
      </w:r>
      <w:r>
        <w:rPr>
          <w:rFonts w:hint="eastAsia" w:ascii="Times New Roman" w:hAnsi="宋体"/>
          <w:sz w:val="28"/>
          <w:szCs w:val="28"/>
        </w:rPr>
        <w:t>日通过</w:t>
      </w:r>
      <w:r>
        <w:rPr>
          <w:rFonts w:hint="eastAsia" w:ascii="Times New Roman" w:hAnsi="宋体"/>
          <w:color w:val="auto"/>
          <w:sz w:val="28"/>
          <w:szCs w:val="28"/>
        </w:rPr>
        <w:t>东莞市</w:t>
      </w:r>
      <w:r>
        <w:rPr>
          <w:rFonts w:hint="eastAsia" w:ascii="Times New Roman" w:hAnsi="宋体"/>
          <w:color w:val="auto"/>
          <w:sz w:val="28"/>
          <w:szCs w:val="28"/>
          <w:lang w:eastAsia="zh-CN"/>
        </w:rPr>
        <w:t>生态环境</w:t>
      </w:r>
      <w:r>
        <w:rPr>
          <w:rFonts w:hint="eastAsia" w:ascii="Times New Roman" w:hAnsi="宋体"/>
          <w:color w:val="auto"/>
          <w:sz w:val="28"/>
          <w:szCs w:val="28"/>
        </w:rPr>
        <w:t>局</w:t>
      </w:r>
      <w:r>
        <w:rPr>
          <w:rFonts w:hint="eastAsia" w:ascii="Times New Roman" w:hAnsi="宋体"/>
          <w:sz w:val="28"/>
          <w:szCs w:val="28"/>
        </w:rPr>
        <w:t>黄江分局审批，编号为东环建﹝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7141</w:t>
      </w:r>
      <w:r>
        <w:rPr>
          <w:rFonts w:hint="eastAsia" w:ascii="Times New Roman" w:hAnsi="宋体"/>
          <w:sz w:val="28"/>
          <w:szCs w:val="28"/>
        </w:rPr>
        <w:t>号。</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（三）投资情况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项目实际总投资为</w:t>
      </w:r>
      <w:r>
        <w:rPr>
          <w:rFonts w:hint="eastAsia" w:ascii="Times New Roman" w:hAnsi="Times New Roman"/>
          <w:sz w:val="28"/>
          <w:szCs w:val="28"/>
          <w:lang w:val="en-US" w:eastAsia="zh-CN"/>
        </w:rPr>
        <w:t>100</w:t>
      </w:r>
      <w:r>
        <w:rPr>
          <w:rFonts w:hint="eastAsia" w:ascii="Times New Roman" w:hAnsi="宋体"/>
          <w:sz w:val="28"/>
          <w:szCs w:val="28"/>
        </w:rPr>
        <w:t>万元，环保投资为</w:t>
      </w:r>
      <w:r>
        <w:rPr>
          <w:rFonts w:hint="eastAsia" w:ascii="Times New Roman" w:hAnsi="宋体"/>
          <w:sz w:val="28"/>
          <w:szCs w:val="28"/>
          <w:lang w:val="en-US" w:eastAsia="zh-CN"/>
        </w:rPr>
        <w:t>10</w:t>
      </w:r>
      <w:r>
        <w:rPr>
          <w:rFonts w:hint="eastAsia" w:ascii="Times New Roman" w:hAnsi="宋体"/>
          <w:sz w:val="28"/>
          <w:szCs w:val="28"/>
        </w:rPr>
        <w:t>万元，占总投资的</w:t>
      </w:r>
      <w:r>
        <w:rPr>
          <w:rFonts w:hint="eastAsia" w:ascii="Times New Roman" w:hAnsi="Times New Roman"/>
          <w:sz w:val="28"/>
          <w:szCs w:val="28"/>
          <w:lang w:val="en-US" w:eastAsia="zh-CN"/>
        </w:rPr>
        <w:t>10</w:t>
      </w:r>
      <w:r>
        <w:rPr>
          <w:rFonts w:ascii="Times New Roman" w:hAnsi="Times New Roman"/>
          <w:sz w:val="28"/>
          <w:szCs w:val="28"/>
        </w:rPr>
        <w:t>%</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（四）验收范围</w:t>
      </w:r>
    </w:p>
    <w:p>
      <w:pPr>
        <w:spacing w:line="360" w:lineRule="auto"/>
        <w:ind w:firstLine="560" w:firstLineChars="200"/>
        <w:rPr>
          <w:rFonts w:ascii="Times New Roman" w:hAnsi="Times New Roman"/>
          <w:sz w:val="28"/>
          <w:szCs w:val="28"/>
        </w:rPr>
      </w:pPr>
      <w:r>
        <w:rPr>
          <w:rFonts w:hint="eastAsia" w:ascii="Times New Roman" w:hAnsi="宋体"/>
          <w:sz w:val="28"/>
          <w:szCs w:val="28"/>
        </w:rPr>
        <w:t>本次验收只针对废气、生活污水及噪声的整体验收。（固废不在本次验收范围内。）验收的主要设备为：</w:t>
      </w:r>
      <w:r>
        <w:rPr>
          <w:rFonts w:hint="eastAsia" w:ascii="Times New Roman" w:hAnsi="Times New Roman"/>
          <w:sz w:val="28"/>
          <w:szCs w:val="28"/>
          <w:lang w:eastAsia="zh-CN"/>
        </w:rPr>
        <w:t>注塑机</w:t>
      </w:r>
      <w:r>
        <w:rPr>
          <w:rFonts w:hint="eastAsia" w:ascii="Times New Roman" w:hAnsi="Times New Roman"/>
          <w:sz w:val="28"/>
          <w:szCs w:val="28"/>
          <w:lang w:val="en-US" w:eastAsia="zh-CN"/>
        </w:rPr>
        <w:t>12台、立式注塑机4台、炼胶机3台、铣床4台</w:t>
      </w:r>
      <w:r>
        <w:rPr>
          <w:rFonts w:hint="eastAsia" w:ascii="Times New Roman" w:hAnsi="Times New Roman"/>
          <w:sz w:val="28"/>
          <w:szCs w:val="28"/>
        </w:rPr>
        <w:t>等</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二、工程变动情况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本项目实际建设内容与环评批复的审批内容基本一致，无重大变动情况。</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三、环境保护设施建设情况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经现场检查，我单位建设项目执行了环境保护</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管理制度，基本落实了《关于</w:t>
      </w:r>
      <w:r>
        <w:rPr>
          <w:rFonts w:hint="eastAsia" w:ascii="Times New Roman" w:hAnsi="宋体"/>
          <w:sz w:val="28"/>
          <w:szCs w:val="28"/>
          <w:lang w:eastAsia="zh-CN"/>
        </w:rPr>
        <w:t>东莞英浩新能源科技有限公司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建）项目环境影响报告表的批复意见》（东环建﹝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7141</w:t>
      </w:r>
      <w:r>
        <w:rPr>
          <w:rFonts w:hint="eastAsia" w:ascii="Times New Roman" w:hAnsi="宋体"/>
          <w:sz w:val="28"/>
          <w:szCs w:val="28"/>
        </w:rPr>
        <w:t>号）的要求。具体如下：</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废水</w:t>
      </w:r>
    </w:p>
    <w:p>
      <w:pPr>
        <w:spacing w:line="360" w:lineRule="auto"/>
        <w:ind w:firstLine="560" w:firstLineChars="200"/>
        <w:rPr>
          <w:rFonts w:hint="eastAsia" w:ascii="Times New Roman" w:hAnsi="Times New Roman" w:eastAsia="宋体"/>
          <w:sz w:val="28"/>
          <w:szCs w:val="28"/>
          <w:lang w:eastAsia="zh-CN"/>
        </w:rPr>
      </w:pPr>
      <w:r>
        <w:rPr>
          <w:rFonts w:ascii="Times New Roman" w:hAnsi="Times New Roman"/>
          <w:sz w:val="28"/>
          <w:szCs w:val="28"/>
        </w:rPr>
        <w:t>1</w:t>
      </w:r>
      <w:r>
        <w:rPr>
          <w:rFonts w:hint="eastAsia" w:ascii="Times New Roman" w:hAnsi="宋体"/>
          <w:sz w:val="28"/>
          <w:szCs w:val="28"/>
        </w:rPr>
        <w:t>、本项目不排放生产性废水。</w:t>
      </w:r>
      <w:r>
        <w:rPr>
          <w:rFonts w:hint="eastAsia" w:ascii="Times New Roman" w:hAnsi="宋体"/>
          <w:sz w:val="28"/>
          <w:szCs w:val="28"/>
          <w:lang w:eastAsia="zh-CN"/>
        </w:rPr>
        <w:t>冷却用水循环使用，不排放。</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废气</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注塑成型、挤出成型、软化工序</w:t>
      </w:r>
      <w:r>
        <w:rPr>
          <w:rFonts w:hint="eastAsia" w:ascii="Times New Roman" w:hAnsi="宋体"/>
          <w:sz w:val="28"/>
          <w:szCs w:val="28"/>
        </w:rPr>
        <w:t>设置在密闭车间，产生的废气经收集后引至</w:t>
      </w:r>
      <w:r>
        <w:rPr>
          <w:rFonts w:ascii="Times New Roman" w:hAnsi="Times New Roman"/>
          <w:sz w:val="28"/>
          <w:szCs w:val="28"/>
        </w:rPr>
        <w:t>UV</w:t>
      </w:r>
      <w:r>
        <w:rPr>
          <w:rFonts w:hint="eastAsia" w:ascii="Times New Roman" w:hAnsi="宋体"/>
          <w:sz w:val="28"/>
          <w:szCs w:val="28"/>
        </w:rPr>
        <w:t>光解</w:t>
      </w:r>
      <w:r>
        <w:rPr>
          <w:rFonts w:hint="eastAsia" w:ascii="Times New Roman" w:hAnsi="宋体"/>
          <w:sz w:val="28"/>
          <w:szCs w:val="28"/>
          <w:lang w:eastAsia="zh-CN"/>
        </w:rPr>
        <w:t>催化装置</w:t>
      </w:r>
      <w:r>
        <w:rPr>
          <w:rFonts w:ascii="Times New Roman" w:hAnsi="Times New Roman"/>
          <w:sz w:val="28"/>
          <w:szCs w:val="28"/>
        </w:rPr>
        <w:t>+</w:t>
      </w:r>
      <w:r>
        <w:rPr>
          <w:rFonts w:hint="eastAsia" w:ascii="Times New Roman" w:hAnsi="宋体"/>
          <w:sz w:val="28"/>
          <w:szCs w:val="28"/>
        </w:rPr>
        <w:t>活性炭吸附装置治理设施进行处理后高空排放，有组织废气排放执行《</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4大气污染物</w:t>
      </w:r>
      <w:r>
        <w:rPr>
          <w:rFonts w:hint="eastAsia" w:ascii="Times New Roman" w:hAnsi="宋体"/>
          <w:sz w:val="28"/>
          <w:szCs w:val="28"/>
        </w:rPr>
        <w:t>排放限值</w:t>
      </w:r>
      <w:r>
        <w:rPr>
          <w:rFonts w:hint="eastAsia" w:ascii="Times New Roman" w:hAnsi="宋体"/>
          <w:sz w:val="28"/>
          <w:szCs w:val="28"/>
          <w:lang w:eastAsia="zh-CN"/>
        </w:rPr>
        <w:t>，无组织废气排放达到</w:t>
      </w:r>
      <w:r>
        <w:rPr>
          <w:rFonts w:hint="eastAsia" w:ascii="Times New Roman" w:hAnsi="宋体"/>
          <w:sz w:val="28"/>
          <w:szCs w:val="28"/>
        </w:rPr>
        <w:t>《</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9企业边界大气污染物浓度限值</w:t>
      </w:r>
      <w:r>
        <w:rPr>
          <w:rFonts w:hint="eastAsia" w:ascii="Times New Roman" w:hAnsi="宋体"/>
          <w:sz w:val="28"/>
          <w:szCs w:val="28"/>
        </w:rPr>
        <w:t>。</w:t>
      </w:r>
    </w:p>
    <w:p>
      <w:pPr>
        <w:spacing w:line="360" w:lineRule="auto"/>
        <w:ind w:firstLine="562" w:firstLineChars="200"/>
        <w:outlineLvl w:val="0"/>
        <w:rPr>
          <w:rFonts w:ascii="Times New Roman" w:hAnsi="Times New Roman"/>
          <w:b/>
          <w:color w:val="000000"/>
          <w:sz w:val="28"/>
          <w:szCs w:val="28"/>
        </w:rPr>
      </w:pPr>
      <w:r>
        <w:rPr>
          <w:rFonts w:hint="eastAsia" w:ascii="Times New Roman" w:hAnsi="宋体"/>
          <w:b/>
          <w:color w:val="000000"/>
          <w:sz w:val="28"/>
          <w:szCs w:val="28"/>
        </w:rPr>
        <w:t>（三）噪声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项目做好生产设备的</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声、减震等降噪措施，噪声不</w:t>
      </w:r>
      <w:r>
        <w:rPr>
          <w:rFonts w:hint="eastAsia" w:ascii="Times New Roman" w:hAnsi="宋体"/>
          <w:sz w:val="28"/>
          <w:szCs w:val="28"/>
          <w:lang w:eastAsia="zh-CN"/>
        </w:rPr>
        <w:t>得</w:t>
      </w:r>
      <w:r>
        <w:rPr>
          <w:rFonts w:hint="eastAsia" w:ascii="Times New Roman" w:hAnsi="宋体"/>
          <w:sz w:val="28"/>
          <w:szCs w:val="28"/>
        </w:rPr>
        <w:t>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3</w:t>
      </w:r>
      <w:r>
        <w:rPr>
          <w:rFonts w:hint="eastAsia" w:ascii="Times New Roman" w:hAnsi="宋体"/>
          <w:sz w:val="28"/>
          <w:szCs w:val="28"/>
        </w:rPr>
        <w:t>类标准。</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四、环境保护设施调试效果</w:t>
      </w:r>
    </w:p>
    <w:p>
      <w:pPr>
        <w:spacing w:line="480" w:lineRule="exact"/>
        <w:ind w:left="420" w:leftChars="200"/>
        <w:rPr>
          <w:rFonts w:ascii="Times New Roman" w:hAnsi="Times New Roman"/>
          <w:b/>
          <w:sz w:val="28"/>
          <w:szCs w:val="28"/>
        </w:rPr>
      </w:pPr>
      <w:r>
        <w:rPr>
          <w:rFonts w:ascii="Times New Roman" w:hAnsi="Times New Roman"/>
          <w:b/>
          <w:sz w:val="28"/>
          <w:szCs w:val="28"/>
        </w:rPr>
        <w:t xml:space="preserve">  </w:t>
      </w:r>
      <w:r>
        <w:rPr>
          <w:rFonts w:hint="eastAsia" w:ascii="Times New Roman" w:hAnsi="宋体"/>
          <w:b/>
          <w:sz w:val="28"/>
          <w:szCs w:val="28"/>
        </w:rPr>
        <w:t>（一）污染物达标排放情况</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本项目不排放生产性废水。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、废气</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注塑成型、挤出成型、软化工序</w:t>
      </w:r>
      <w:r>
        <w:rPr>
          <w:rFonts w:hint="eastAsia" w:ascii="Times New Roman" w:hAnsi="宋体"/>
          <w:sz w:val="28"/>
          <w:szCs w:val="28"/>
        </w:rPr>
        <w:t>设置在密闭车间，产生的废气经收集后引至</w:t>
      </w:r>
      <w:r>
        <w:rPr>
          <w:rFonts w:ascii="Times New Roman" w:hAnsi="Times New Roman"/>
          <w:sz w:val="28"/>
          <w:szCs w:val="28"/>
        </w:rPr>
        <w:t>UV</w:t>
      </w:r>
      <w:r>
        <w:rPr>
          <w:rFonts w:hint="eastAsia" w:ascii="Times New Roman" w:hAnsi="宋体"/>
          <w:sz w:val="28"/>
          <w:szCs w:val="28"/>
        </w:rPr>
        <w:t>光解</w:t>
      </w:r>
      <w:r>
        <w:rPr>
          <w:rFonts w:hint="eastAsia" w:ascii="Times New Roman" w:hAnsi="宋体"/>
          <w:sz w:val="28"/>
          <w:szCs w:val="28"/>
          <w:lang w:eastAsia="zh-CN"/>
        </w:rPr>
        <w:t>催化装置</w:t>
      </w:r>
      <w:r>
        <w:rPr>
          <w:rFonts w:ascii="Times New Roman" w:hAnsi="Times New Roman"/>
          <w:sz w:val="28"/>
          <w:szCs w:val="28"/>
        </w:rPr>
        <w:t>+</w:t>
      </w:r>
      <w:r>
        <w:rPr>
          <w:rFonts w:hint="eastAsia" w:ascii="Times New Roman" w:hAnsi="宋体"/>
          <w:sz w:val="28"/>
          <w:szCs w:val="28"/>
        </w:rPr>
        <w:t>活性炭吸附装置治理设施进行处理后高空排放，有组织废气排放执行《</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4大气污染物</w:t>
      </w:r>
      <w:r>
        <w:rPr>
          <w:rFonts w:hint="eastAsia" w:ascii="Times New Roman" w:hAnsi="宋体"/>
          <w:sz w:val="28"/>
          <w:szCs w:val="28"/>
        </w:rPr>
        <w:t>排放限值</w:t>
      </w:r>
      <w:r>
        <w:rPr>
          <w:rFonts w:hint="eastAsia" w:ascii="Times New Roman" w:hAnsi="宋体"/>
          <w:sz w:val="28"/>
          <w:szCs w:val="28"/>
          <w:lang w:eastAsia="zh-CN"/>
        </w:rPr>
        <w:t>，无组织废气排放达到</w:t>
      </w:r>
      <w:r>
        <w:rPr>
          <w:rFonts w:hint="eastAsia" w:ascii="Times New Roman" w:hAnsi="宋体"/>
          <w:sz w:val="28"/>
          <w:szCs w:val="28"/>
        </w:rPr>
        <w:t>《</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9企业边界大气污染物浓度限值</w:t>
      </w:r>
      <w:r>
        <w:rPr>
          <w:rFonts w:hint="eastAsia" w:ascii="Times New Roman" w:hAnsi="宋体"/>
          <w:sz w:val="28"/>
          <w:szCs w:val="28"/>
        </w:rPr>
        <w:t>。见监测报告</w:t>
      </w:r>
      <w:r>
        <w:rPr>
          <w:rFonts w:hint="eastAsia" w:ascii="Times New Roman" w:hAnsi="Times New Roman"/>
          <w:sz w:val="28"/>
          <w:szCs w:val="28"/>
          <w:lang w:val="en-US" w:eastAsia="zh-CN"/>
        </w:rPr>
        <w:t>SP2019702(0001)-01</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ascii="Times New Roman" w:hAnsi="宋体"/>
          <w:sz w:val="28"/>
          <w:szCs w:val="28"/>
        </w:rPr>
        <w:t>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项目已做好生产设备的</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声、减震等降噪措施，噪声不</w:t>
      </w:r>
      <w:r>
        <w:rPr>
          <w:rFonts w:hint="eastAsia" w:ascii="Times New Roman" w:hAnsi="宋体"/>
          <w:sz w:val="28"/>
          <w:szCs w:val="28"/>
          <w:lang w:eastAsia="zh-CN"/>
        </w:rPr>
        <w:t>得</w:t>
      </w:r>
      <w:r>
        <w:rPr>
          <w:rFonts w:hint="eastAsia" w:ascii="Times New Roman" w:hAnsi="宋体"/>
          <w:sz w:val="28"/>
          <w:szCs w:val="28"/>
        </w:rPr>
        <w:t>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3</w:t>
      </w:r>
      <w:r>
        <w:rPr>
          <w:rFonts w:hint="eastAsia" w:ascii="Times New Roman" w:hAnsi="宋体"/>
          <w:sz w:val="28"/>
          <w:szCs w:val="28"/>
        </w:rPr>
        <w:t>类标准。见监测报告</w:t>
      </w:r>
      <w:r>
        <w:rPr>
          <w:rFonts w:hint="eastAsia" w:ascii="Times New Roman" w:hAnsi="Times New Roman"/>
          <w:sz w:val="28"/>
          <w:szCs w:val="28"/>
          <w:lang w:val="en-US" w:eastAsia="zh-CN"/>
        </w:rPr>
        <w:t>SP2019702(0001)-01</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hint="eastAsia" w:ascii="Times New Roman" w:hAnsi="宋体"/>
          <w:sz w:val="28"/>
          <w:szCs w:val="28"/>
        </w:rPr>
        <w:t>现场检查时生产设备及污染防治设施运转正常。</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五、工程建设对环境的影响</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本项目的</w:t>
      </w:r>
      <w:r>
        <w:rPr>
          <w:rFonts w:hint="eastAsia" w:ascii="Times New Roman" w:hAnsi="宋体"/>
          <w:sz w:val="28"/>
          <w:szCs w:val="28"/>
          <w:lang w:eastAsia="zh-CN"/>
        </w:rPr>
        <w:t>注塑成型、挤出成型、软化工序</w:t>
      </w:r>
      <w:r>
        <w:rPr>
          <w:rFonts w:hint="eastAsia" w:ascii="Times New Roman" w:hAnsi="宋体"/>
          <w:sz w:val="28"/>
          <w:szCs w:val="28"/>
        </w:rPr>
        <w:t>产生的有机废气经处理后达标排放，并做好</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声、减震等降噪措施，对周边环境不会产生明显的影响。</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六、验收结论</w:t>
      </w:r>
    </w:p>
    <w:p>
      <w:pPr>
        <w:spacing w:line="360" w:lineRule="auto"/>
        <w:ind w:firstLine="560" w:firstLineChars="200"/>
        <w:rPr>
          <w:rFonts w:ascii="Times New Roman" w:hAnsi="Times New Roman"/>
          <w:sz w:val="28"/>
          <w:szCs w:val="28"/>
        </w:rPr>
      </w:pPr>
      <w:r>
        <w:rPr>
          <w:rFonts w:hint="eastAsia" w:ascii="Times New Roman" w:hAnsi="宋体"/>
          <w:sz w:val="28"/>
          <w:szCs w:val="28"/>
        </w:rPr>
        <w:t>本建设项目环境影响报告表经批准后，项目的地点、性质、规模和建设内容未发生重大变化，采取的废气、废水、噪声污染物防治措施基本落实了环评文件及环评批复的要求，同时满足</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要求，验收监测报告总体符合相关技术规范，同意项目通过验收。</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七、建议</w:t>
      </w:r>
    </w:p>
    <w:p>
      <w:pPr>
        <w:spacing w:line="360" w:lineRule="auto"/>
        <w:ind w:firstLine="560" w:firstLineChars="200"/>
        <w:rPr>
          <w:rFonts w:ascii="Times New Roman" w:hAnsi="Times New Roman"/>
          <w:sz w:val="28"/>
          <w:szCs w:val="28"/>
        </w:rPr>
      </w:pPr>
      <w:r>
        <w:rPr>
          <w:rFonts w:hint="eastAsia" w:ascii="Times New Roman" w:hAnsi="宋体"/>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560" w:firstLineChars="200"/>
        <w:rPr>
          <w:rFonts w:ascii="Times New Roman" w:hAnsi="Times New Roman"/>
          <w:sz w:val="28"/>
          <w:szCs w:val="28"/>
        </w:rPr>
      </w:pPr>
      <w:r>
        <w:rPr>
          <w:rFonts w:hint="eastAsia" w:ascii="Times New Roman" w:hAnsi="宋体"/>
          <w:sz w:val="28"/>
          <w:szCs w:val="28"/>
        </w:rPr>
        <w:t>（二）完善废气处理设施操作规程和运行管理制度。</w:t>
      </w:r>
    </w:p>
    <w:p>
      <w:pPr>
        <w:spacing w:line="360" w:lineRule="auto"/>
        <w:ind w:firstLine="560" w:firstLineChars="200"/>
        <w:rPr>
          <w:rFonts w:ascii="Times New Roman" w:hAnsi="Times New Roman"/>
          <w:sz w:val="28"/>
          <w:szCs w:val="28"/>
        </w:rPr>
      </w:pPr>
      <w:r>
        <w:rPr>
          <w:rFonts w:hint="eastAsia" w:ascii="Times New Roman" w:hAnsi="宋体"/>
          <w:sz w:val="28"/>
          <w:szCs w:val="28"/>
        </w:rPr>
        <w:t>（三）按国家、省、市关于信息公开的法律法规及文件要求，做好相关环节信息公开工作。</w:t>
      </w:r>
    </w:p>
    <w:p>
      <w:pPr>
        <w:outlineLvl w:val="0"/>
        <w:rPr>
          <w:rFonts w:hint="eastAsia" w:ascii="Times New Roman" w:hAnsi="宋体"/>
          <w:b/>
          <w:bCs/>
          <w:sz w:val="28"/>
          <w:szCs w:val="28"/>
        </w:rPr>
      </w:pPr>
      <w:bookmarkStart w:id="0" w:name="_GoBack"/>
      <w:bookmarkEnd w:id="0"/>
    </w:p>
    <w:p>
      <w:pPr>
        <w:outlineLvl w:val="0"/>
        <w:rPr>
          <w:rFonts w:ascii="Times New Roman" w:hAnsi="Times New Roman"/>
          <w:sz w:val="28"/>
          <w:szCs w:val="28"/>
        </w:rPr>
      </w:pPr>
      <w:r>
        <w:rPr>
          <w:rFonts w:hint="eastAsia" w:ascii="Times New Roman" w:hAnsi="宋体"/>
          <w:b/>
          <w:bCs/>
          <w:sz w:val="28"/>
          <w:szCs w:val="28"/>
        </w:rPr>
        <w:t>八、验收成员</w:t>
      </w:r>
    </w:p>
    <w:tbl>
      <w:tblPr>
        <w:tblStyle w:val="8"/>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720"/>
        <w:gridCol w:w="283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center"/>
              <w:rPr>
                <w:rFonts w:ascii="Times New Roman" w:hAnsi="Times New Roman"/>
                <w:sz w:val="28"/>
                <w:szCs w:val="28"/>
              </w:rPr>
            </w:pPr>
            <w:r>
              <w:rPr>
                <w:rFonts w:hint="eastAsia" w:ascii="Times New Roman" w:hAnsi="宋体"/>
                <w:sz w:val="28"/>
                <w:szCs w:val="28"/>
              </w:rPr>
              <w:t>姓名</w:t>
            </w:r>
          </w:p>
        </w:tc>
        <w:tc>
          <w:tcPr>
            <w:tcW w:w="3720" w:type="dxa"/>
          </w:tcPr>
          <w:p>
            <w:pPr>
              <w:spacing w:line="360" w:lineRule="auto"/>
              <w:jc w:val="center"/>
              <w:rPr>
                <w:rFonts w:ascii="Times New Roman" w:hAnsi="Times New Roman"/>
                <w:sz w:val="28"/>
                <w:szCs w:val="28"/>
              </w:rPr>
            </w:pPr>
            <w:r>
              <w:rPr>
                <w:rFonts w:hint="eastAsia" w:ascii="Times New Roman" w:hAnsi="宋体"/>
                <w:sz w:val="28"/>
                <w:szCs w:val="28"/>
              </w:rPr>
              <w:t>工作单位</w:t>
            </w:r>
          </w:p>
        </w:tc>
        <w:tc>
          <w:tcPr>
            <w:tcW w:w="2835" w:type="dxa"/>
          </w:tcPr>
          <w:p>
            <w:pPr>
              <w:spacing w:line="360" w:lineRule="auto"/>
              <w:jc w:val="center"/>
              <w:rPr>
                <w:rFonts w:ascii="Times New Roman" w:hAnsi="Times New Roman"/>
                <w:sz w:val="28"/>
                <w:szCs w:val="28"/>
              </w:rPr>
            </w:pPr>
            <w:r>
              <w:rPr>
                <w:rFonts w:hint="eastAsia" w:ascii="Times New Roman" w:hAnsi="宋体"/>
                <w:sz w:val="28"/>
                <w:szCs w:val="28"/>
              </w:rPr>
              <w:t>职称或职务</w:t>
            </w:r>
          </w:p>
        </w:tc>
        <w:tc>
          <w:tcPr>
            <w:tcW w:w="2131" w:type="dxa"/>
          </w:tcPr>
          <w:p>
            <w:pPr>
              <w:spacing w:line="360" w:lineRule="auto"/>
              <w:jc w:val="center"/>
              <w:rPr>
                <w:rFonts w:ascii="Times New Roman" w:hAnsi="Times New Roman"/>
                <w:sz w:val="28"/>
                <w:szCs w:val="28"/>
              </w:rPr>
            </w:pPr>
            <w:r>
              <w:rPr>
                <w:rFonts w:hint="eastAsia" w:ascii="Times New Roman" w:hAnsi="宋体"/>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bl>
    <w:p>
      <w:pPr>
        <w:rPr>
          <w:rFonts w:ascii="Times New Roman" w:hAnsi="Times New Roman"/>
          <w:sz w:val="28"/>
          <w:szCs w:val="28"/>
        </w:rPr>
      </w:pPr>
    </w:p>
    <w:p>
      <w:pPr>
        <w:ind w:left="5459" w:leftChars="333" w:hanging="4760" w:hangingChars="1700"/>
        <w:rPr>
          <w:rFonts w:ascii="Times New Roman" w:hAnsi="Times New Roman"/>
          <w:sz w:val="28"/>
          <w:szCs w:val="28"/>
        </w:rPr>
      </w:pPr>
      <w:r>
        <w:rPr>
          <w:rFonts w:ascii="Times New Roman" w:hAnsi="Times New Roman"/>
          <w:sz w:val="28"/>
          <w:szCs w:val="28"/>
        </w:rPr>
        <w:t xml:space="preserve">                          </w:t>
      </w:r>
      <w:r>
        <w:rPr>
          <w:rFonts w:hint="eastAsia" w:ascii="Times New Roman" w:hAnsi="宋体"/>
          <w:sz w:val="28"/>
          <w:szCs w:val="28"/>
          <w:lang w:eastAsia="zh-CN"/>
        </w:rPr>
        <w:t>东莞英浩新能源科技有限公司</w:t>
      </w:r>
      <w:r>
        <w:rPr>
          <w:rFonts w:ascii="Times New Roman" w:hAnsi="Times New Roman"/>
          <w:sz w:val="28"/>
          <w:szCs w:val="28"/>
        </w:rPr>
        <w:t xml:space="preserve">                            2019</w:t>
      </w:r>
      <w:r>
        <w:rPr>
          <w:rFonts w:hint="eastAsia" w:ascii="Times New Roman" w:hAnsi="宋体"/>
          <w:sz w:val="28"/>
          <w:szCs w:val="28"/>
        </w:rPr>
        <w:t>年</w:t>
      </w:r>
      <w:r>
        <w:rPr>
          <w:rFonts w:hint="eastAsia" w:ascii="Times New Roman" w:hAnsi="Times New Roman"/>
          <w:sz w:val="28"/>
          <w:szCs w:val="28"/>
          <w:lang w:val="en-US" w:eastAsia="zh-CN"/>
        </w:rPr>
        <w:t>8</w:t>
      </w:r>
      <w:r>
        <w:rPr>
          <w:rFonts w:hint="eastAsia" w:ascii="Times New Roman" w:hAnsi="宋体"/>
          <w:sz w:val="28"/>
          <w:szCs w:val="28"/>
        </w:rPr>
        <w:t>月</w:t>
      </w:r>
      <w:r>
        <w:rPr>
          <w:rFonts w:ascii="Times New Roman" w:hAnsi="Times New Roman"/>
          <w:sz w:val="28"/>
          <w:szCs w:val="28"/>
        </w:rPr>
        <w:t xml:space="preserve"> </w:t>
      </w:r>
      <w:r>
        <w:rPr>
          <w:rFonts w:hint="eastAsia" w:ascii="Times New Roman" w:hAnsi="Times New Roman"/>
          <w:sz w:val="28"/>
          <w:szCs w:val="28"/>
          <w:lang w:val="en-US" w:eastAsia="zh-CN"/>
        </w:rPr>
        <w:t>1</w:t>
      </w:r>
      <w:r>
        <w:rPr>
          <w:rFonts w:hint="eastAsia" w:ascii="Times New Roman" w:hAnsi="宋体"/>
          <w:sz w:val="28"/>
          <w:szCs w:val="28"/>
        </w:rPr>
        <w:t>日</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0B5332"/>
    <w:rsid w:val="001A0CB8"/>
    <w:rsid w:val="001A7EC4"/>
    <w:rsid w:val="001C3919"/>
    <w:rsid w:val="001D7B90"/>
    <w:rsid w:val="00240D82"/>
    <w:rsid w:val="00332653"/>
    <w:rsid w:val="00362851"/>
    <w:rsid w:val="003C7616"/>
    <w:rsid w:val="0041034D"/>
    <w:rsid w:val="00464D4A"/>
    <w:rsid w:val="00492EBE"/>
    <w:rsid w:val="0051719F"/>
    <w:rsid w:val="005931D0"/>
    <w:rsid w:val="007943B4"/>
    <w:rsid w:val="008A622B"/>
    <w:rsid w:val="008C3E99"/>
    <w:rsid w:val="009007E4"/>
    <w:rsid w:val="00A16867"/>
    <w:rsid w:val="00AA12E1"/>
    <w:rsid w:val="00AF2408"/>
    <w:rsid w:val="00C553D8"/>
    <w:rsid w:val="00CA06F3"/>
    <w:rsid w:val="00D719B2"/>
    <w:rsid w:val="00D9085D"/>
    <w:rsid w:val="00D91DA1"/>
    <w:rsid w:val="00DE1E8D"/>
    <w:rsid w:val="00E37DF5"/>
    <w:rsid w:val="00F10618"/>
    <w:rsid w:val="00FB5325"/>
    <w:rsid w:val="00FF7A77"/>
    <w:rsid w:val="0139557C"/>
    <w:rsid w:val="016611C4"/>
    <w:rsid w:val="017373D9"/>
    <w:rsid w:val="027222F0"/>
    <w:rsid w:val="02880A22"/>
    <w:rsid w:val="03603F87"/>
    <w:rsid w:val="042504EB"/>
    <w:rsid w:val="051D2F02"/>
    <w:rsid w:val="05210C01"/>
    <w:rsid w:val="056F10A8"/>
    <w:rsid w:val="05B33BA9"/>
    <w:rsid w:val="05B521F6"/>
    <w:rsid w:val="05C55494"/>
    <w:rsid w:val="065132E4"/>
    <w:rsid w:val="06A149FE"/>
    <w:rsid w:val="06C91477"/>
    <w:rsid w:val="070F3838"/>
    <w:rsid w:val="071723D5"/>
    <w:rsid w:val="07315CC3"/>
    <w:rsid w:val="07595488"/>
    <w:rsid w:val="079D32CF"/>
    <w:rsid w:val="07DF1EAC"/>
    <w:rsid w:val="08A263B3"/>
    <w:rsid w:val="08CC7F73"/>
    <w:rsid w:val="094E1577"/>
    <w:rsid w:val="0A480828"/>
    <w:rsid w:val="0A5375EC"/>
    <w:rsid w:val="0BED60E4"/>
    <w:rsid w:val="0C472341"/>
    <w:rsid w:val="0C95641C"/>
    <w:rsid w:val="0CDD2D1B"/>
    <w:rsid w:val="0ECC0C66"/>
    <w:rsid w:val="0EEC7590"/>
    <w:rsid w:val="0F743DAB"/>
    <w:rsid w:val="10337E92"/>
    <w:rsid w:val="10437719"/>
    <w:rsid w:val="1052683D"/>
    <w:rsid w:val="1114719E"/>
    <w:rsid w:val="11BA4957"/>
    <w:rsid w:val="11FB46DD"/>
    <w:rsid w:val="136B6542"/>
    <w:rsid w:val="13724950"/>
    <w:rsid w:val="13757A54"/>
    <w:rsid w:val="13C168DA"/>
    <w:rsid w:val="13D45378"/>
    <w:rsid w:val="150A554C"/>
    <w:rsid w:val="15DF448C"/>
    <w:rsid w:val="16825362"/>
    <w:rsid w:val="17205556"/>
    <w:rsid w:val="172D53A3"/>
    <w:rsid w:val="189B202F"/>
    <w:rsid w:val="18C307C0"/>
    <w:rsid w:val="19095BAD"/>
    <w:rsid w:val="19C50643"/>
    <w:rsid w:val="19D9226B"/>
    <w:rsid w:val="19E32301"/>
    <w:rsid w:val="1A570DBC"/>
    <w:rsid w:val="1B295B54"/>
    <w:rsid w:val="1BCB365B"/>
    <w:rsid w:val="1BD017D9"/>
    <w:rsid w:val="1E18694A"/>
    <w:rsid w:val="1E497D1A"/>
    <w:rsid w:val="1E5C13A8"/>
    <w:rsid w:val="1EC31340"/>
    <w:rsid w:val="1EE11F3D"/>
    <w:rsid w:val="1FEE6557"/>
    <w:rsid w:val="20666A72"/>
    <w:rsid w:val="208F1595"/>
    <w:rsid w:val="20962DCB"/>
    <w:rsid w:val="20B002BE"/>
    <w:rsid w:val="2161507C"/>
    <w:rsid w:val="217834B5"/>
    <w:rsid w:val="21C26207"/>
    <w:rsid w:val="22777F76"/>
    <w:rsid w:val="22991059"/>
    <w:rsid w:val="230B39EB"/>
    <w:rsid w:val="23DA7D94"/>
    <w:rsid w:val="247E2CFE"/>
    <w:rsid w:val="24881185"/>
    <w:rsid w:val="24902725"/>
    <w:rsid w:val="24B769F4"/>
    <w:rsid w:val="28C262E3"/>
    <w:rsid w:val="2906111A"/>
    <w:rsid w:val="292A1D93"/>
    <w:rsid w:val="29D7241E"/>
    <w:rsid w:val="29DC2444"/>
    <w:rsid w:val="2A394A76"/>
    <w:rsid w:val="2A4D39AC"/>
    <w:rsid w:val="2B0F5789"/>
    <w:rsid w:val="2C172C94"/>
    <w:rsid w:val="2C7A150F"/>
    <w:rsid w:val="2D373DF3"/>
    <w:rsid w:val="2D7A064B"/>
    <w:rsid w:val="2DD443A5"/>
    <w:rsid w:val="2DEE003E"/>
    <w:rsid w:val="2DF52C39"/>
    <w:rsid w:val="2EF1683C"/>
    <w:rsid w:val="2EF4591E"/>
    <w:rsid w:val="2F4E2E15"/>
    <w:rsid w:val="2F6E13D6"/>
    <w:rsid w:val="2FAE5DA6"/>
    <w:rsid w:val="310E5319"/>
    <w:rsid w:val="316B1E33"/>
    <w:rsid w:val="317926AE"/>
    <w:rsid w:val="32106581"/>
    <w:rsid w:val="32395C48"/>
    <w:rsid w:val="335F1C8B"/>
    <w:rsid w:val="33AC7F45"/>
    <w:rsid w:val="34B05925"/>
    <w:rsid w:val="35215E57"/>
    <w:rsid w:val="35451357"/>
    <w:rsid w:val="356C1EFE"/>
    <w:rsid w:val="35ED5E59"/>
    <w:rsid w:val="363A7433"/>
    <w:rsid w:val="363F3ABA"/>
    <w:rsid w:val="36820683"/>
    <w:rsid w:val="36B1102F"/>
    <w:rsid w:val="375E4D17"/>
    <w:rsid w:val="381013E2"/>
    <w:rsid w:val="38AC27C1"/>
    <w:rsid w:val="39DA5C6A"/>
    <w:rsid w:val="3B142261"/>
    <w:rsid w:val="3B753CDB"/>
    <w:rsid w:val="3B794C8C"/>
    <w:rsid w:val="3BEE767A"/>
    <w:rsid w:val="3CC4740E"/>
    <w:rsid w:val="3D727B66"/>
    <w:rsid w:val="3EC36DA7"/>
    <w:rsid w:val="3F15334A"/>
    <w:rsid w:val="3F5806F8"/>
    <w:rsid w:val="402B5BEE"/>
    <w:rsid w:val="41351714"/>
    <w:rsid w:val="41E5447C"/>
    <w:rsid w:val="423F0CFD"/>
    <w:rsid w:val="424803FD"/>
    <w:rsid w:val="42A16527"/>
    <w:rsid w:val="43E4796A"/>
    <w:rsid w:val="44732C67"/>
    <w:rsid w:val="44887644"/>
    <w:rsid w:val="44B03B99"/>
    <w:rsid w:val="44D66432"/>
    <w:rsid w:val="44E52601"/>
    <w:rsid w:val="44FB3290"/>
    <w:rsid w:val="45890408"/>
    <w:rsid w:val="45EB4BE6"/>
    <w:rsid w:val="470D1C8B"/>
    <w:rsid w:val="47843AD7"/>
    <w:rsid w:val="478965A4"/>
    <w:rsid w:val="47E95156"/>
    <w:rsid w:val="47FF13A4"/>
    <w:rsid w:val="483B3C84"/>
    <w:rsid w:val="489420AD"/>
    <w:rsid w:val="48C07F97"/>
    <w:rsid w:val="48F30EDE"/>
    <w:rsid w:val="491D352F"/>
    <w:rsid w:val="498A3FDB"/>
    <w:rsid w:val="498F4C38"/>
    <w:rsid w:val="4A947E2A"/>
    <w:rsid w:val="4AE51A1D"/>
    <w:rsid w:val="4B1836FC"/>
    <w:rsid w:val="4B4E274B"/>
    <w:rsid w:val="4BA86F41"/>
    <w:rsid w:val="4BC3418C"/>
    <w:rsid w:val="4C305DEE"/>
    <w:rsid w:val="4C712CB1"/>
    <w:rsid w:val="4C872950"/>
    <w:rsid w:val="4CF11E2E"/>
    <w:rsid w:val="4DD3236F"/>
    <w:rsid w:val="4E0971EA"/>
    <w:rsid w:val="4E3B3099"/>
    <w:rsid w:val="4F6038A2"/>
    <w:rsid w:val="4F884994"/>
    <w:rsid w:val="4FCC3048"/>
    <w:rsid w:val="4FFE2CFB"/>
    <w:rsid w:val="50153F3D"/>
    <w:rsid w:val="50E40E8D"/>
    <w:rsid w:val="520A1544"/>
    <w:rsid w:val="523114CC"/>
    <w:rsid w:val="52BA375C"/>
    <w:rsid w:val="530A6B62"/>
    <w:rsid w:val="53B94E86"/>
    <w:rsid w:val="5409469C"/>
    <w:rsid w:val="548754D4"/>
    <w:rsid w:val="54CD72B8"/>
    <w:rsid w:val="558F016D"/>
    <w:rsid w:val="56D515BE"/>
    <w:rsid w:val="57921CD9"/>
    <w:rsid w:val="580738E1"/>
    <w:rsid w:val="586B08C6"/>
    <w:rsid w:val="58E57404"/>
    <w:rsid w:val="5A1F7BC5"/>
    <w:rsid w:val="5BE1455A"/>
    <w:rsid w:val="5C7957C8"/>
    <w:rsid w:val="5C7F5406"/>
    <w:rsid w:val="5CB8679C"/>
    <w:rsid w:val="5DE72A23"/>
    <w:rsid w:val="5E2A5389"/>
    <w:rsid w:val="5ED56FB0"/>
    <w:rsid w:val="5F280C1D"/>
    <w:rsid w:val="5F9B7077"/>
    <w:rsid w:val="5FB17C89"/>
    <w:rsid w:val="5FFC0F9F"/>
    <w:rsid w:val="60CB4353"/>
    <w:rsid w:val="60D915DB"/>
    <w:rsid w:val="61A9150E"/>
    <w:rsid w:val="61C318E5"/>
    <w:rsid w:val="629425AD"/>
    <w:rsid w:val="62CE3DA2"/>
    <w:rsid w:val="6356049E"/>
    <w:rsid w:val="64121127"/>
    <w:rsid w:val="641C1E63"/>
    <w:rsid w:val="66C93B86"/>
    <w:rsid w:val="678B7852"/>
    <w:rsid w:val="679C18E9"/>
    <w:rsid w:val="68EC4B36"/>
    <w:rsid w:val="690F71C6"/>
    <w:rsid w:val="6A162763"/>
    <w:rsid w:val="6C1F3EC4"/>
    <w:rsid w:val="6D062F53"/>
    <w:rsid w:val="6D8E74DC"/>
    <w:rsid w:val="6DEE5A7D"/>
    <w:rsid w:val="6E675789"/>
    <w:rsid w:val="6EC407AF"/>
    <w:rsid w:val="6F1134E5"/>
    <w:rsid w:val="6F3C7EBF"/>
    <w:rsid w:val="6FE46869"/>
    <w:rsid w:val="715A4425"/>
    <w:rsid w:val="716C2779"/>
    <w:rsid w:val="7181591E"/>
    <w:rsid w:val="71D92C77"/>
    <w:rsid w:val="734C1A18"/>
    <w:rsid w:val="739D468E"/>
    <w:rsid w:val="740A46B1"/>
    <w:rsid w:val="741E5A17"/>
    <w:rsid w:val="743F2409"/>
    <w:rsid w:val="749B05AB"/>
    <w:rsid w:val="74CB1C1A"/>
    <w:rsid w:val="765E6AE6"/>
    <w:rsid w:val="76E35EE0"/>
    <w:rsid w:val="775F4C5F"/>
    <w:rsid w:val="7A1A4A01"/>
    <w:rsid w:val="7A3C5A9F"/>
    <w:rsid w:val="7A972A62"/>
    <w:rsid w:val="7ACC518C"/>
    <w:rsid w:val="7BD1461B"/>
    <w:rsid w:val="7C704E89"/>
    <w:rsid w:val="7CD744DD"/>
    <w:rsid w:val="7DAE3FD1"/>
    <w:rsid w:val="7DC20509"/>
    <w:rsid w:val="7E0E2E22"/>
    <w:rsid w:val="7E453892"/>
    <w:rsid w:val="7E4C72AC"/>
    <w:rsid w:val="7E6D4078"/>
    <w:rsid w:val="7E767785"/>
    <w:rsid w:val="7EFD6031"/>
    <w:rsid w:val="7F3D0089"/>
    <w:rsid w:val="7FAC56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style>
  <w:style w:type="paragraph" w:styleId="3">
    <w:name w:val="annotation text"/>
    <w:basedOn w:val="1"/>
    <w:link w:val="13"/>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rPr>
  </w:style>
  <w:style w:type="paragraph" w:styleId="6">
    <w:name w:val="header"/>
    <w:basedOn w:val="1"/>
    <w:link w:val="1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qFormat/>
    <w:uiPriority w:val="99"/>
    <w:rPr>
      <w:b/>
      <w:bCs/>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qFormat/>
    <w:locked/>
    <w:uiPriority w:val="99"/>
    <w:rPr>
      <w:rFonts w:ascii="Times New Roman" w:hAnsi="Times New Roman" w:cs="Times New Roman"/>
      <w:sz w:val="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semiHidden/>
    <w:qFormat/>
    <w:locked/>
    <w:uiPriority w:val="99"/>
    <w:rPr>
      <w:rFonts w:ascii="Calibri" w:hAnsi="Calibri" w:cs="Times New Roman"/>
      <w:sz w:val="2"/>
    </w:rPr>
  </w:style>
  <w:style w:type="character" w:customStyle="1" w:styleId="15">
    <w:name w:val="Footer Char"/>
    <w:basedOn w:val="10"/>
    <w:link w:val="5"/>
    <w:semiHidden/>
    <w:qFormat/>
    <w:locked/>
    <w:uiPriority w:val="99"/>
    <w:rPr>
      <w:rFonts w:ascii="Calibri" w:hAnsi="Calibri" w:cs="Times New Roman"/>
      <w:sz w:val="18"/>
      <w:szCs w:val="18"/>
    </w:rPr>
  </w:style>
  <w:style w:type="character" w:customStyle="1" w:styleId="16">
    <w:name w:val="Header Char"/>
    <w:basedOn w:val="10"/>
    <w:link w:val="6"/>
    <w:semiHidden/>
    <w:qFormat/>
    <w:locked/>
    <w:uiPriority w:val="99"/>
    <w:rPr>
      <w:rFonts w:ascii="Calibri" w:hAnsi="Calibri" w:cs="Times New Roman"/>
      <w:sz w:val="18"/>
      <w:szCs w:val="18"/>
    </w:rPr>
  </w:style>
  <w:style w:type="character" w:customStyle="1" w:styleId="17">
    <w:name w:val="Comment Subject Char"/>
    <w:basedOn w:val="13"/>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349</Words>
  <Characters>1994</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翔兴环保邓永洪</cp:lastModifiedBy>
  <cp:lastPrinted>2019-10-09T04:24:12Z</cp:lastPrinted>
  <dcterms:modified xsi:type="dcterms:W3CDTF">2019-10-09T04:24:35Z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