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b/>
          <w:bCs/>
          <w:sz w:val="36"/>
          <w:szCs w:val="36"/>
        </w:rPr>
      </w:pPr>
      <w:r>
        <w:rPr>
          <w:rFonts w:hint="eastAsia" w:ascii="Times New Roman" w:hAnsi="宋体"/>
          <w:b/>
          <w:bCs/>
          <w:sz w:val="36"/>
          <w:szCs w:val="36"/>
          <w:lang w:eastAsia="zh-CN"/>
        </w:rPr>
        <w:t>东莞市艾科智能自动化设备有限公司</w:t>
      </w:r>
      <w:r>
        <w:rPr>
          <w:rFonts w:hint="eastAsia" w:ascii="Times New Roman" w:hAnsi="Times New Roman"/>
          <w:b/>
          <w:bCs/>
          <w:sz w:val="36"/>
          <w:szCs w:val="36"/>
        </w:rPr>
        <w:t>（</w:t>
      </w:r>
      <w:r>
        <w:rPr>
          <w:rFonts w:hint="eastAsia" w:ascii="Times New Roman" w:hAnsi="Times New Roman"/>
          <w:b/>
          <w:bCs/>
          <w:sz w:val="36"/>
          <w:szCs w:val="36"/>
          <w:lang w:eastAsia="zh-CN"/>
        </w:rPr>
        <w:t>新</w:t>
      </w:r>
      <w:r>
        <w:rPr>
          <w:rFonts w:hint="eastAsia" w:ascii="Times New Roman" w:hAnsi="宋体"/>
          <w:b/>
          <w:bCs/>
          <w:sz w:val="36"/>
          <w:szCs w:val="36"/>
        </w:rPr>
        <w:t>建）项目</w:t>
      </w:r>
    </w:p>
    <w:p>
      <w:pPr>
        <w:spacing w:line="700" w:lineRule="exact"/>
        <w:jc w:val="center"/>
        <w:rPr>
          <w:rFonts w:ascii="Times New Roman" w:hAnsi="Times New Roman"/>
          <w:sz w:val="28"/>
          <w:szCs w:val="28"/>
        </w:rPr>
      </w:pPr>
      <w:r>
        <w:rPr>
          <w:rFonts w:hint="eastAsia" w:ascii="Times New Roman" w:hAnsi="宋体"/>
          <w:b/>
          <w:bCs/>
          <w:sz w:val="36"/>
          <w:szCs w:val="36"/>
        </w:rPr>
        <w:t>废水、废气、噪声竣工环境保护验收意见</w:t>
      </w:r>
    </w:p>
    <w:p>
      <w:pPr>
        <w:spacing w:line="580" w:lineRule="exact"/>
        <w:ind w:firstLine="560" w:firstLineChars="200"/>
        <w:rPr>
          <w:rFonts w:ascii="Times New Roman" w:hAnsi="Times New Roman"/>
          <w:sz w:val="28"/>
          <w:szCs w:val="28"/>
        </w:rPr>
      </w:pPr>
    </w:p>
    <w:p>
      <w:pPr>
        <w:spacing w:line="360" w:lineRule="auto"/>
        <w:ind w:firstLine="560" w:firstLineChars="200"/>
        <w:rPr>
          <w:rFonts w:ascii="Times New Roman" w:hAnsi="Times New Roman"/>
          <w:color w:val="0000FF"/>
          <w:sz w:val="28"/>
          <w:szCs w:val="28"/>
        </w:rPr>
      </w:pPr>
      <w:r>
        <w:rPr>
          <w:rFonts w:ascii="Times New Roman" w:hAnsi="Times New Roman"/>
          <w:sz w:val="28"/>
          <w:szCs w:val="28"/>
        </w:rPr>
        <w:t>2019</w:t>
      </w:r>
      <w:r>
        <w:rPr>
          <w:rFonts w:hint="eastAsia" w:ascii="Times New Roman" w:hAnsi="宋体"/>
          <w:sz w:val="28"/>
          <w:szCs w:val="28"/>
        </w:rPr>
        <w:t>年</w:t>
      </w:r>
      <w:r>
        <w:rPr>
          <w:rFonts w:hint="eastAsia" w:ascii="Times New Roman" w:hAnsi="Times New Roman"/>
          <w:sz w:val="28"/>
          <w:szCs w:val="28"/>
          <w:lang w:val="en-US" w:eastAsia="zh-CN"/>
        </w:rPr>
        <w:t>8</w:t>
      </w:r>
      <w:r>
        <w:rPr>
          <w:rFonts w:hint="eastAsia" w:ascii="Times New Roman" w:hAnsi="宋体"/>
          <w:sz w:val="28"/>
          <w:szCs w:val="28"/>
        </w:rPr>
        <w:t>月</w:t>
      </w:r>
      <w:r>
        <w:rPr>
          <w:rFonts w:hint="eastAsia" w:ascii="Times New Roman" w:hAnsi="Times New Roman"/>
          <w:sz w:val="28"/>
          <w:szCs w:val="28"/>
          <w:lang w:val="en-US" w:eastAsia="zh-CN"/>
        </w:rPr>
        <w:t>14</w:t>
      </w:r>
      <w:r>
        <w:rPr>
          <w:rFonts w:hint="eastAsia" w:ascii="Times New Roman" w:hAnsi="宋体"/>
          <w:sz w:val="28"/>
          <w:szCs w:val="28"/>
        </w:rPr>
        <w:t>日，</w:t>
      </w:r>
      <w:r>
        <w:rPr>
          <w:rFonts w:hint="eastAsia" w:ascii="Times New Roman" w:hAnsi="宋体"/>
          <w:sz w:val="28"/>
          <w:szCs w:val="28"/>
          <w:lang w:eastAsia="zh-CN"/>
        </w:rPr>
        <w:t>东莞市艾科智能自动化设备有限公司</w:t>
      </w:r>
      <w:r>
        <w:rPr>
          <w:rFonts w:hint="eastAsia" w:ascii="Times New Roman" w:hAnsi="宋体"/>
          <w:sz w:val="28"/>
          <w:szCs w:val="28"/>
        </w:rPr>
        <w:t>根据</w:t>
      </w:r>
      <w:r>
        <w:rPr>
          <w:rFonts w:hint="eastAsia" w:ascii="Times New Roman" w:hAnsi="宋体"/>
          <w:sz w:val="28"/>
          <w:szCs w:val="28"/>
          <w:lang w:eastAsia="zh-CN"/>
        </w:rPr>
        <w:t>东莞市艾科智能自动化设备有限公司建设</w:t>
      </w:r>
      <w:r>
        <w:rPr>
          <w:rFonts w:hint="eastAsia" w:ascii="Times New Roman" w:hAnsi="宋体"/>
          <w:sz w:val="28"/>
          <w:szCs w:val="28"/>
        </w:rPr>
        <w:t>项目竣工环境保护验收监测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一、工程建设基本情况</w:t>
      </w:r>
      <w:r>
        <w:rPr>
          <w:rFonts w:ascii="Times New Roman" w:hAnsi="Times New Roman"/>
          <w:b/>
          <w:sz w:val="28"/>
          <w:szCs w:val="28"/>
        </w:rPr>
        <w:t xml:space="preserve"> </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（一）建设地点、规模、主要建设内容</w:t>
      </w:r>
    </w:p>
    <w:p>
      <w:pPr>
        <w:spacing w:line="360" w:lineRule="auto"/>
        <w:ind w:firstLine="560" w:firstLineChars="200"/>
        <w:rPr>
          <w:rFonts w:ascii="Times New Roman" w:hAnsi="Times New Roman"/>
          <w:sz w:val="28"/>
          <w:szCs w:val="28"/>
        </w:rPr>
      </w:pPr>
      <w:r>
        <w:rPr>
          <w:rFonts w:hint="eastAsia" w:ascii="Times New Roman" w:hAnsi="Times New Roman"/>
          <w:sz w:val="28"/>
          <w:szCs w:val="28"/>
          <w:lang w:eastAsia="zh-CN"/>
        </w:rPr>
        <w:t>东莞市艾科智能自动化设备有限公司</w:t>
      </w:r>
      <w:r>
        <w:rPr>
          <w:rFonts w:hint="eastAsia" w:ascii="Times New Roman" w:hAnsi="Times New Roman"/>
          <w:sz w:val="28"/>
          <w:szCs w:val="28"/>
        </w:rPr>
        <w:t>位于东莞市黄江镇社贝明珠一路10号2栋101室（厂址中心坐标：北纬 22°55'37.47"，东经114°01'19.72"）。项目总投资</w:t>
      </w:r>
      <w:r>
        <w:rPr>
          <w:rFonts w:hint="eastAsia" w:ascii="Times New Roman" w:hAnsi="Times New Roman"/>
          <w:sz w:val="28"/>
          <w:szCs w:val="28"/>
          <w:lang w:val="en-US" w:eastAsia="zh-CN"/>
        </w:rPr>
        <w:t>500</w:t>
      </w:r>
      <w:r>
        <w:rPr>
          <w:rFonts w:hint="eastAsia" w:ascii="Times New Roman" w:hAnsi="Times New Roman"/>
          <w:sz w:val="28"/>
          <w:szCs w:val="28"/>
        </w:rPr>
        <w:t>万元，项目占地面积</w:t>
      </w:r>
      <w:r>
        <w:rPr>
          <w:rFonts w:hint="eastAsia" w:ascii="Times New Roman" w:hAnsi="Times New Roman"/>
          <w:sz w:val="28"/>
          <w:szCs w:val="28"/>
          <w:lang w:val="en-US" w:eastAsia="zh-CN"/>
        </w:rPr>
        <w:t>700</w:t>
      </w:r>
      <w:r>
        <w:rPr>
          <w:rFonts w:hint="eastAsia" w:ascii="Times New Roman" w:hAnsi="Times New Roman"/>
          <w:sz w:val="28"/>
          <w:szCs w:val="28"/>
        </w:rPr>
        <w:t>平方米，建筑面积</w:t>
      </w:r>
      <w:r>
        <w:rPr>
          <w:rFonts w:hint="eastAsia" w:ascii="Times New Roman" w:hAnsi="Times New Roman"/>
          <w:sz w:val="28"/>
          <w:szCs w:val="28"/>
          <w:lang w:val="en-US" w:eastAsia="zh-CN"/>
        </w:rPr>
        <w:t>1100</w:t>
      </w:r>
      <w:r>
        <w:rPr>
          <w:rFonts w:hint="eastAsia" w:ascii="Times New Roman" w:hAnsi="Times New Roman"/>
          <w:sz w:val="28"/>
          <w:szCs w:val="28"/>
        </w:rPr>
        <w:t>平方米。项目主要</w:t>
      </w:r>
      <w:r>
        <w:rPr>
          <w:rFonts w:hint="eastAsia" w:ascii="Times New Roman" w:hAnsi="Times New Roman"/>
          <w:sz w:val="28"/>
          <w:szCs w:val="28"/>
          <w:lang w:eastAsia="zh-CN"/>
        </w:rPr>
        <w:t>从事清洗机、纯水机的加工生产</w:t>
      </w:r>
      <w:r>
        <w:rPr>
          <w:rFonts w:hint="eastAsia" w:ascii="Times New Roman" w:hAnsi="Times New Roman"/>
          <w:sz w:val="28"/>
          <w:szCs w:val="28"/>
        </w:rPr>
        <w:t>，属于一家小型规模企业。项目年产清洗机35套、纯水机7套。项目主要设备为：</w:t>
      </w:r>
      <w:r>
        <w:rPr>
          <w:rFonts w:hint="eastAsia" w:ascii="Times New Roman" w:hAnsi="Times New Roman"/>
          <w:sz w:val="28"/>
          <w:szCs w:val="28"/>
          <w:lang w:eastAsia="zh-CN"/>
        </w:rPr>
        <w:t>剪板机1台、切割机2台、氩弧焊接机7台、手磨机6台</w:t>
      </w:r>
      <w:r>
        <w:rPr>
          <w:rFonts w:hint="eastAsia" w:ascii="Times New Roman" w:hAnsi="Times New Roman"/>
          <w:sz w:val="28"/>
          <w:szCs w:val="28"/>
        </w:rPr>
        <w:t>等</w:t>
      </w:r>
      <w:r>
        <w:rPr>
          <w:rFonts w:hint="eastAsia" w:ascii="Times New Roman" w:hAnsi="Times New Roman"/>
          <w:sz w:val="28"/>
          <w:szCs w:val="28"/>
          <w:lang w:eastAsia="zh-CN"/>
        </w:rPr>
        <w:t>设备</w:t>
      </w:r>
      <w:r>
        <w:rPr>
          <w:rFonts w:hint="eastAsia" w:ascii="Times New Roman" w:hAnsi="Times New Roman"/>
          <w:sz w:val="28"/>
          <w:szCs w:val="28"/>
        </w:rPr>
        <w:t>（具体生产设备详见该项目报告表或者验收报告）。</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（二）建设过程及环保审批情况</w:t>
      </w:r>
    </w:p>
    <w:p>
      <w:pPr>
        <w:spacing w:line="360" w:lineRule="auto"/>
        <w:ind w:firstLine="560" w:firstLineChars="200"/>
        <w:rPr>
          <w:rFonts w:ascii="Times New Roman" w:hAnsi="Times New Roman"/>
          <w:sz w:val="28"/>
          <w:szCs w:val="28"/>
        </w:rPr>
      </w:pPr>
      <w:r>
        <w:rPr>
          <w:rFonts w:hint="eastAsia" w:ascii="Times New Roman" w:hAnsi="宋体"/>
          <w:sz w:val="28"/>
          <w:szCs w:val="28"/>
          <w:lang w:eastAsia="zh-CN"/>
        </w:rPr>
        <w:t>东莞市艾科智能自动化设备有限公司</w:t>
      </w:r>
      <w:r>
        <w:rPr>
          <w:rFonts w:hint="eastAsia" w:ascii="Times New Roman" w:hAnsi="宋体"/>
          <w:sz w:val="28"/>
          <w:szCs w:val="28"/>
        </w:rPr>
        <w:t>于</w:t>
      </w:r>
      <w:r>
        <w:rPr>
          <w:rFonts w:ascii="Times New Roman" w:hAnsi="Times New Roman"/>
          <w:sz w:val="28"/>
          <w:szCs w:val="28"/>
        </w:rPr>
        <w:t>201</w:t>
      </w:r>
      <w:r>
        <w:rPr>
          <w:rFonts w:hint="eastAsia" w:ascii="Times New Roman" w:hAnsi="Times New Roman"/>
          <w:sz w:val="28"/>
          <w:szCs w:val="28"/>
          <w:lang w:val="en-US" w:eastAsia="zh-CN"/>
        </w:rPr>
        <w:t>9</w:t>
      </w:r>
      <w:r>
        <w:rPr>
          <w:rFonts w:hint="eastAsia" w:ascii="Times New Roman" w:hAnsi="宋体"/>
          <w:sz w:val="28"/>
          <w:szCs w:val="28"/>
        </w:rPr>
        <w:t>年</w:t>
      </w:r>
      <w:r>
        <w:rPr>
          <w:rFonts w:hint="eastAsia" w:ascii="Times New Roman" w:hAnsi="Times New Roman"/>
          <w:sz w:val="28"/>
          <w:szCs w:val="28"/>
          <w:lang w:val="en-US" w:eastAsia="zh-CN"/>
        </w:rPr>
        <w:t>6</w:t>
      </w:r>
      <w:r>
        <w:rPr>
          <w:rFonts w:hint="eastAsia" w:ascii="Times New Roman" w:hAnsi="宋体"/>
          <w:sz w:val="28"/>
          <w:szCs w:val="28"/>
        </w:rPr>
        <w:t>月委托</w:t>
      </w:r>
      <w:r>
        <w:rPr>
          <w:rFonts w:hint="eastAsia" w:ascii="Times New Roman" w:hAnsi="宋体"/>
          <w:sz w:val="28"/>
          <w:szCs w:val="28"/>
          <w:lang w:eastAsia="zh-CN"/>
        </w:rPr>
        <w:t>东莞市新腾环保科技</w:t>
      </w:r>
      <w:r>
        <w:rPr>
          <w:rFonts w:hint="eastAsia" w:ascii="Times New Roman" w:hAnsi="宋体"/>
          <w:sz w:val="28"/>
          <w:szCs w:val="28"/>
        </w:rPr>
        <w:t>有限公司编制了《</w:t>
      </w:r>
      <w:r>
        <w:rPr>
          <w:rFonts w:hint="eastAsia" w:ascii="Times New Roman" w:hAnsi="宋体"/>
          <w:sz w:val="28"/>
          <w:szCs w:val="28"/>
          <w:lang w:eastAsia="zh-CN"/>
        </w:rPr>
        <w:t>东莞市艾科智能自动化设备有限公司建设</w:t>
      </w:r>
      <w:r>
        <w:rPr>
          <w:rFonts w:hint="eastAsia" w:ascii="Times New Roman" w:hAnsi="宋体"/>
          <w:sz w:val="28"/>
          <w:szCs w:val="28"/>
        </w:rPr>
        <w:t>项目环境影响报告表》，并于</w:t>
      </w:r>
      <w:r>
        <w:rPr>
          <w:rFonts w:ascii="Times New Roman" w:hAnsi="Times New Roman"/>
          <w:sz w:val="28"/>
          <w:szCs w:val="28"/>
        </w:rPr>
        <w:t>2019</w:t>
      </w:r>
      <w:r>
        <w:rPr>
          <w:rFonts w:hint="eastAsia" w:ascii="Times New Roman" w:hAnsi="宋体"/>
          <w:sz w:val="28"/>
          <w:szCs w:val="28"/>
        </w:rPr>
        <w:t>年</w:t>
      </w:r>
      <w:r>
        <w:rPr>
          <w:rFonts w:hint="eastAsia" w:ascii="Times New Roman" w:hAnsi="Times New Roman"/>
          <w:sz w:val="28"/>
          <w:szCs w:val="28"/>
          <w:lang w:val="en-US" w:eastAsia="zh-CN"/>
        </w:rPr>
        <w:t>7</w:t>
      </w:r>
      <w:r>
        <w:rPr>
          <w:rFonts w:hint="eastAsia" w:ascii="Times New Roman" w:hAnsi="宋体"/>
          <w:sz w:val="28"/>
          <w:szCs w:val="28"/>
        </w:rPr>
        <w:t>月</w:t>
      </w:r>
      <w:r>
        <w:rPr>
          <w:rFonts w:hint="eastAsia" w:ascii="Times New Roman" w:hAnsi="Times New Roman"/>
          <w:sz w:val="28"/>
          <w:szCs w:val="28"/>
          <w:lang w:val="en-US" w:eastAsia="zh-CN"/>
        </w:rPr>
        <w:t>17</w:t>
      </w:r>
      <w:r>
        <w:rPr>
          <w:rFonts w:hint="eastAsia" w:ascii="Times New Roman" w:hAnsi="宋体"/>
          <w:sz w:val="28"/>
          <w:szCs w:val="28"/>
        </w:rPr>
        <w:t>日通过</w:t>
      </w:r>
      <w:r>
        <w:rPr>
          <w:rFonts w:hint="eastAsia" w:ascii="Times New Roman" w:hAnsi="宋体"/>
          <w:color w:val="auto"/>
          <w:sz w:val="28"/>
          <w:szCs w:val="28"/>
        </w:rPr>
        <w:t>东莞市</w:t>
      </w:r>
      <w:r>
        <w:rPr>
          <w:rFonts w:hint="eastAsia" w:ascii="Times New Roman" w:hAnsi="宋体"/>
          <w:color w:val="auto"/>
          <w:sz w:val="28"/>
          <w:szCs w:val="28"/>
          <w:lang w:eastAsia="zh-CN"/>
        </w:rPr>
        <w:t>生态环境</w:t>
      </w:r>
      <w:r>
        <w:rPr>
          <w:rFonts w:hint="eastAsia" w:ascii="Times New Roman" w:hAnsi="宋体"/>
          <w:color w:val="auto"/>
          <w:sz w:val="28"/>
          <w:szCs w:val="28"/>
        </w:rPr>
        <w:t>局</w:t>
      </w:r>
      <w:r>
        <w:rPr>
          <w:rFonts w:hint="eastAsia" w:ascii="Times New Roman" w:hAnsi="宋体"/>
          <w:sz w:val="28"/>
          <w:szCs w:val="28"/>
          <w:lang w:eastAsia="zh-CN"/>
        </w:rPr>
        <w:t>黄江</w:t>
      </w:r>
      <w:r>
        <w:rPr>
          <w:rFonts w:hint="eastAsia" w:ascii="Times New Roman" w:hAnsi="宋体"/>
          <w:sz w:val="28"/>
          <w:szCs w:val="28"/>
        </w:rPr>
        <w:t>分局审批，编号为东环建〔2019〕12367 号。</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（三）投资情况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项目实际总投资为</w:t>
      </w:r>
      <w:r>
        <w:rPr>
          <w:rFonts w:hint="eastAsia" w:ascii="Times New Roman" w:hAnsi="Times New Roman"/>
          <w:sz w:val="28"/>
          <w:szCs w:val="28"/>
          <w:lang w:val="en-US" w:eastAsia="zh-CN"/>
        </w:rPr>
        <w:t>500</w:t>
      </w:r>
      <w:r>
        <w:rPr>
          <w:rFonts w:hint="eastAsia" w:ascii="Times New Roman" w:hAnsi="宋体"/>
          <w:sz w:val="28"/>
          <w:szCs w:val="28"/>
        </w:rPr>
        <w:t>万元，环保投资为</w:t>
      </w:r>
      <w:r>
        <w:rPr>
          <w:rFonts w:hint="eastAsia" w:ascii="Times New Roman" w:hAnsi="Times New Roman"/>
          <w:sz w:val="28"/>
          <w:szCs w:val="28"/>
          <w:lang w:val="en-US" w:eastAsia="zh-CN"/>
        </w:rPr>
        <w:t>2.5</w:t>
      </w:r>
      <w:r>
        <w:rPr>
          <w:rFonts w:hint="eastAsia" w:ascii="Times New Roman" w:hAnsi="宋体"/>
          <w:sz w:val="28"/>
          <w:szCs w:val="28"/>
        </w:rPr>
        <w:t>万元，占总投资的</w:t>
      </w:r>
      <w:r>
        <w:rPr>
          <w:rFonts w:hint="eastAsia" w:ascii="Times New Roman" w:hAnsi="宋体"/>
          <w:sz w:val="28"/>
          <w:szCs w:val="28"/>
          <w:lang w:val="en-US" w:eastAsia="zh-CN"/>
        </w:rPr>
        <w:t>0.50%</w:t>
      </w:r>
      <w:r>
        <w:rPr>
          <w:rFonts w:hint="eastAsia" w:ascii="Times New Roman" w:hAnsi="宋体"/>
          <w:sz w:val="28"/>
          <w:szCs w:val="28"/>
        </w:rPr>
        <w:t>。</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（四）验收范围</w:t>
      </w:r>
    </w:p>
    <w:p>
      <w:pPr>
        <w:spacing w:line="360" w:lineRule="auto"/>
        <w:ind w:firstLine="560" w:firstLineChars="200"/>
        <w:rPr>
          <w:rFonts w:ascii="Times New Roman" w:hAnsi="Times New Roman"/>
          <w:sz w:val="28"/>
          <w:szCs w:val="28"/>
        </w:rPr>
      </w:pPr>
      <w:r>
        <w:rPr>
          <w:rFonts w:hint="eastAsia" w:ascii="Times New Roman" w:hAnsi="宋体"/>
          <w:sz w:val="28"/>
          <w:szCs w:val="28"/>
        </w:rPr>
        <w:t>本次验收只针对废气</w:t>
      </w:r>
      <w:r>
        <w:rPr>
          <w:rFonts w:hint="eastAsia" w:ascii="Times New Roman" w:hAnsi="宋体"/>
          <w:sz w:val="28"/>
          <w:szCs w:val="28"/>
          <w:lang w:eastAsia="zh-CN"/>
        </w:rPr>
        <w:t>、</w:t>
      </w:r>
      <w:r>
        <w:rPr>
          <w:rFonts w:hint="eastAsia" w:ascii="Times New Roman" w:hAnsi="宋体"/>
          <w:sz w:val="28"/>
          <w:szCs w:val="28"/>
        </w:rPr>
        <w:t>生活污水及噪声的整体验收。（固废不在本次验收范围内。）验收的主要设备为：</w:t>
      </w:r>
      <w:r>
        <w:rPr>
          <w:rFonts w:hint="eastAsia" w:ascii="Times New Roman" w:hAnsi="宋体"/>
          <w:sz w:val="28"/>
          <w:szCs w:val="28"/>
          <w:lang w:eastAsia="zh-CN"/>
        </w:rPr>
        <w:t>剪板机1台、切割机2台、氩弧焊接机7台、手磨机6台</w:t>
      </w:r>
      <w:r>
        <w:rPr>
          <w:rFonts w:hint="eastAsia" w:ascii="Times New Roman" w:hAnsi="Times New Roman"/>
          <w:sz w:val="28"/>
          <w:szCs w:val="28"/>
        </w:rPr>
        <w:t>等</w:t>
      </w:r>
      <w:r>
        <w:rPr>
          <w:rFonts w:hint="eastAsia" w:ascii="Times New Roman" w:hAnsi="宋体"/>
          <w:sz w:val="28"/>
          <w:szCs w:val="28"/>
        </w:rPr>
        <w:t>。</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二、工程变动情况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本项目实际建设内容与环评批复的审批内容基本一致，无重大变动情况。</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三、环境保护设施建设情况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经现场检查，我单位建设项目执行了环境保护</w:t>
      </w:r>
      <w:r>
        <w:rPr>
          <w:rFonts w:ascii="Times New Roman" w:hAnsi="Times New Roman"/>
          <w:sz w:val="28"/>
          <w:szCs w:val="28"/>
        </w:rPr>
        <w:t>“</w:t>
      </w:r>
      <w:r>
        <w:rPr>
          <w:rFonts w:hint="eastAsia" w:ascii="Times New Roman" w:hAnsi="宋体"/>
          <w:sz w:val="28"/>
          <w:szCs w:val="28"/>
        </w:rPr>
        <w:t>三同时</w:t>
      </w:r>
      <w:r>
        <w:rPr>
          <w:rFonts w:ascii="Times New Roman" w:hAnsi="Times New Roman"/>
          <w:sz w:val="28"/>
          <w:szCs w:val="28"/>
        </w:rPr>
        <w:t>”</w:t>
      </w:r>
      <w:r>
        <w:rPr>
          <w:rFonts w:hint="eastAsia" w:ascii="Times New Roman" w:hAnsi="宋体"/>
          <w:sz w:val="28"/>
          <w:szCs w:val="28"/>
        </w:rPr>
        <w:t>管理制度，基本落实了《</w:t>
      </w:r>
      <w:bookmarkStart w:id="0" w:name="OLE_LINK3"/>
      <w:bookmarkStart w:id="1" w:name="OLE_LINK1"/>
      <w:r>
        <w:rPr>
          <w:rFonts w:hint="eastAsia" w:ascii="Times New Roman" w:hAnsi="宋体"/>
          <w:sz w:val="28"/>
          <w:szCs w:val="28"/>
        </w:rPr>
        <w:t>关于</w:t>
      </w:r>
      <w:r>
        <w:rPr>
          <w:rFonts w:hint="eastAsia" w:ascii="Times New Roman" w:hAnsi="宋体"/>
          <w:sz w:val="28"/>
          <w:szCs w:val="28"/>
          <w:lang w:eastAsia="zh-CN"/>
        </w:rPr>
        <w:t>东莞市艾科智能自动化设备有限公司</w:t>
      </w:r>
      <w:r>
        <w:rPr>
          <w:rFonts w:hint="eastAsia" w:ascii="Times New Roman" w:hAnsi="宋体"/>
          <w:sz w:val="28"/>
          <w:szCs w:val="28"/>
        </w:rPr>
        <w:t>建设项目环境影响报告表的批复</w:t>
      </w:r>
      <w:bookmarkEnd w:id="0"/>
      <w:bookmarkEnd w:id="1"/>
      <w:r>
        <w:rPr>
          <w:rFonts w:hint="eastAsia" w:ascii="Times New Roman" w:hAnsi="宋体"/>
          <w:sz w:val="28"/>
          <w:szCs w:val="28"/>
        </w:rPr>
        <w:t>意见》（东环建〔2019〕12367 号）的要求。具体如下：</w:t>
      </w:r>
    </w:p>
    <w:p>
      <w:pPr>
        <w:numPr>
          <w:ilvl w:val="0"/>
          <w:numId w:val="1"/>
        </w:numPr>
        <w:spacing w:line="480" w:lineRule="exact"/>
        <w:ind w:firstLine="562" w:firstLineChars="200"/>
        <w:rPr>
          <w:rFonts w:ascii="Times New Roman" w:hAnsi="Times New Roman"/>
          <w:b/>
          <w:bCs/>
          <w:sz w:val="28"/>
          <w:szCs w:val="28"/>
        </w:rPr>
      </w:pPr>
      <w:r>
        <w:rPr>
          <w:rFonts w:hint="eastAsia" w:ascii="Times New Roman" w:hAnsi="宋体"/>
          <w:b/>
          <w:bCs/>
          <w:sz w:val="28"/>
          <w:szCs w:val="28"/>
        </w:rPr>
        <w:t>废水</w:t>
      </w:r>
    </w:p>
    <w:p>
      <w:pPr>
        <w:numPr>
          <w:ilvl w:val="0"/>
          <w:numId w:val="2"/>
        </w:numPr>
        <w:spacing w:line="360" w:lineRule="auto"/>
        <w:ind w:firstLine="560" w:firstLineChars="200"/>
        <w:rPr>
          <w:rFonts w:hint="eastAsia" w:ascii="Times New Roman" w:hAnsi="宋体"/>
          <w:sz w:val="28"/>
          <w:szCs w:val="28"/>
        </w:rPr>
      </w:pPr>
      <w:r>
        <w:rPr>
          <w:rFonts w:hint="eastAsia" w:ascii="Times New Roman" w:hAnsi="宋体"/>
          <w:sz w:val="28"/>
          <w:szCs w:val="28"/>
        </w:rPr>
        <w:t>本项目不排放生产性废水。</w:t>
      </w:r>
    </w:p>
    <w:p>
      <w:pPr>
        <w:spacing w:line="360" w:lineRule="auto"/>
        <w:ind w:firstLine="560" w:firstLineChars="200"/>
        <w:rPr>
          <w:rFonts w:ascii="Times New Roman" w:hAnsi="Times New Roman"/>
          <w:sz w:val="28"/>
          <w:szCs w:val="28"/>
        </w:rPr>
      </w:pPr>
      <w:r>
        <w:rPr>
          <w:rFonts w:hint="eastAsia" w:ascii="Times New Roman" w:hAnsi="Times New Roman"/>
          <w:sz w:val="28"/>
          <w:szCs w:val="28"/>
          <w:lang w:val="en-US" w:eastAsia="zh-CN"/>
        </w:rPr>
        <w:t>2</w:t>
      </w:r>
      <w:r>
        <w:rPr>
          <w:rFonts w:hint="eastAsia" w:ascii="Times New Roman" w:hAnsi="宋体"/>
          <w:sz w:val="28"/>
          <w:szCs w:val="28"/>
        </w:rPr>
        <w:t>、生活污水经处理达到广东省《水污染物排放限值》（DB44/26-2001）第二时段三级标准后排入市政截污管网，引至城镇污水处理厂处理。</w:t>
      </w:r>
    </w:p>
    <w:p>
      <w:pPr>
        <w:numPr>
          <w:ilvl w:val="0"/>
          <w:numId w:val="1"/>
        </w:numPr>
        <w:spacing w:line="480" w:lineRule="exact"/>
        <w:ind w:firstLine="562" w:firstLineChars="200"/>
        <w:rPr>
          <w:rFonts w:ascii="Times New Roman" w:hAnsi="Times New Roman"/>
          <w:b/>
          <w:bCs/>
          <w:sz w:val="28"/>
          <w:szCs w:val="28"/>
        </w:rPr>
      </w:pPr>
      <w:r>
        <w:rPr>
          <w:rFonts w:hint="eastAsia" w:ascii="Times New Roman" w:hAnsi="宋体"/>
          <w:b/>
          <w:bCs/>
          <w:sz w:val="28"/>
          <w:szCs w:val="28"/>
        </w:rPr>
        <w:t>废气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Times New Roman" w:hAnsi="宋体"/>
          <w:b w:val="0"/>
          <w:bCs/>
          <w:color w:val="000000"/>
          <w:sz w:val="28"/>
          <w:szCs w:val="28"/>
        </w:rPr>
      </w:pPr>
      <w:r>
        <w:rPr>
          <w:rFonts w:hint="eastAsia" w:ascii="Times New Roman" w:hAnsi="宋体"/>
          <w:b w:val="0"/>
          <w:bCs/>
          <w:color w:val="000000"/>
          <w:sz w:val="28"/>
          <w:szCs w:val="28"/>
        </w:rPr>
        <w:t>焊接、打磨工序产生的烟尘、粉尘</w:t>
      </w:r>
      <w:r>
        <w:rPr>
          <w:rFonts w:hint="eastAsia" w:ascii="Times New Roman" w:hAnsi="宋体"/>
          <w:b w:val="0"/>
          <w:bCs/>
          <w:color w:val="000000"/>
          <w:sz w:val="28"/>
          <w:szCs w:val="28"/>
          <w:lang w:eastAsia="zh-CN"/>
        </w:rPr>
        <w:t>，</w:t>
      </w:r>
      <w:r>
        <w:rPr>
          <w:rFonts w:hint="eastAsia" w:ascii="Times New Roman" w:hAnsi="宋体"/>
          <w:b w:val="0"/>
          <w:bCs/>
          <w:color w:val="000000"/>
          <w:sz w:val="28"/>
          <w:szCs w:val="28"/>
        </w:rPr>
        <w:t>设置机械抽排风装置，通过加强车间的通风量进一步稀释废气浓度</w:t>
      </w:r>
      <w:r>
        <w:rPr>
          <w:rFonts w:hint="eastAsia" w:ascii="Times New Roman" w:hAnsi="宋体"/>
          <w:b w:val="0"/>
          <w:bCs/>
          <w:color w:val="000000"/>
          <w:sz w:val="28"/>
          <w:szCs w:val="28"/>
          <w:lang w:eastAsia="zh-CN"/>
        </w:rPr>
        <w:t>，</w:t>
      </w:r>
      <w:r>
        <w:rPr>
          <w:rFonts w:hint="eastAsia" w:ascii="Times New Roman" w:hAnsi="宋体"/>
          <w:b w:val="0"/>
          <w:bCs/>
          <w:color w:val="000000"/>
          <w:sz w:val="28"/>
          <w:szCs w:val="28"/>
        </w:rPr>
        <w:t>执行广东省《大气污染物排放限值》（DB44/27-2001）第二时段无组织排放监控浓度限值。</w:t>
      </w:r>
    </w:p>
    <w:p>
      <w:pPr>
        <w:spacing w:line="360" w:lineRule="auto"/>
        <w:ind w:firstLine="562" w:firstLineChars="200"/>
        <w:outlineLvl w:val="0"/>
        <w:rPr>
          <w:rFonts w:ascii="Times New Roman" w:hAnsi="Times New Roman"/>
          <w:b/>
          <w:color w:val="000000"/>
          <w:sz w:val="28"/>
          <w:szCs w:val="28"/>
        </w:rPr>
      </w:pPr>
      <w:r>
        <w:rPr>
          <w:rFonts w:hint="eastAsia" w:ascii="Times New Roman" w:hAnsi="宋体"/>
          <w:b/>
          <w:color w:val="000000"/>
          <w:sz w:val="28"/>
          <w:szCs w:val="28"/>
        </w:rPr>
        <w:t>（三）噪声</w:t>
      </w:r>
    </w:p>
    <w:p>
      <w:pPr>
        <w:spacing w:line="360" w:lineRule="auto"/>
        <w:ind w:firstLine="560" w:firstLineChars="200"/>
        <w:rPr>
          <w:rFonts w:hint="eastAsia" w:ascii="Times New Roman" w:hAnsi="宋体"/>
          <w:sz w:val="28"/>
          <w:szCs w:val="28"/>
        </w:rPr>
      </w:pPr>
      <w:r>
        <w:rPr>
          <w:rFonts w:hint="eastAsia" w:ascii="Times New Roman" w:hAnsi="宋体"/>
          <w:sz w:val="28"/>
          <w:szCs w:val="28"/>
          <w:lang w:eastAsia="zh-CN"/>
        </w:rPr>
        <w:t>项目</w:t>
      </w:r>
      <w:r>
        <w:rPr>
          <w:rFonts w:hint="eastAsia" w:ascii="Times New Roman" w:hAnsi="宋体"/>
          <w:sz w:val="28"/>
          <w:szCs w:val="28"/>
        </w:rPr>
        <w:t>做好生产设备的消声降噪措施，噪声不得超过《工业企业厂界环境噪声排放标准》（GB12348-2008）3类标准。</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四、环境保护设施调试效果</w:t>
      </w:r>
    </w:p>
    <w:p>
      <w:pPr>
        <w:spacing w:line="480" w:lineRule="exact"/>
        <w:ind w:left="420" w:leftChars="200"/>
        <w:rPr>
          <w:rFonts w:ascii="Times New Roman" w:hAnsi="Times New Roman"/>
          <w:b/>
          <w:sz w:val="28"/>
          <w:szCs w:val="28"/>
        </w:rPr>
      </w:pPr>
      <w:r>
        <w:rPr>
          <w:rFonts w:ascii="Times New Roman" w:hAnsi="Times New Roman"/>
          <w:b/>
          <w:sz w:val="28"/>
          <w:szCs w:val="28"/>
        </w:rPr>
        <w:t xml:space="preserve">  </w:t>
      </w:r>
      <w:r>
        <w:rPr>
          <w:rFonts w:hint="eastAsia" w:ascii="Times New Roman" w:hAnsi="宋体"/>
          <w:b/>
          <w:sz w:val="28"/>
          <w:szCs w:val="28"/>
        </w:rPr>
        <w:t>（一）污染物达标排放情况</w:t>
      </w:r>
    </w:p>
    <w:p>
      <w:pPr>
        <w:spacing w:line="360" w:lineRule="auto"/>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宋体"/>
          <w:sz w:val="28"/>
          <w:szCs w:val="28"/>
        </w:rPr>
        <w:t>、废水</w:t>
      </w:r>
    </w:p>
    <w:p>
      <w:pPr>
        <w:spacing w:line="360" w:lineRule="auto"/>
        <w:ind w:firstLine="560" w:firstLineChars="200"/>
        <w:rPr>
          <w:rFonts w:hint="eastAsia" w:ascii="Times New Roman" w:hAnsi="宋体"/>
          <w:sz w:val="28"/>
          <w:szCs w:val="28"/>
        </w:rPr>
      </w:pPr>
      <w:r>
        <w:rPr>
          <w:rFonts w:hint="eastAsia" w:ascii="Times New Roman" w:hAnsi="宋体"/>
          <w:sz w:val="28"/>
          <w:szCs w:val="28"/>
        </w:rPr>
        <w:t>本项目不排放生产性废水。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宋体" w:eastAsia="宋体"/>
          <w:sz w:val="28"/>
          <w:szCs w:val="28"/>
          <w:lang w:val="en-US" w:eastAsia="zh-CN"/>
        </w:rPr>
      </w:pPr>
      <w:r>
        <w:rPr>
          <w:rFonts w:hint="eastAsia" w:ascii="Times New Roman" w:hAnsi="宋体" w:eastAsia="宋体"/>
          <w:sz w:val="28"/>
          <w:szCs w:val="28"/>
          <w:lang w:val="en-US" w:eastAsia="zh-CN"/>
        </w:rPr>
        <w:t>生活污水经处理达到广东省《水污染物排放限值》（DB44/26-2001）第二时段三级标准后排入市政截污管网，引至城镇污水处理厂处理。</w:t>
      </w:r>
      <w:r>
        <w:rPr>
          <w:rFonts w:hint="eastAsia" w:ascii="Times New Roman" w:hAnsi="宋体"/>
          <w:sz w:val="28"/>
          <w:szCs w:val="28"/>
        </w:rPr>
        <w:t>见监测报告</w:t>
      </w:r>
      <w:r>
        <w:rPr>
          <w:rFonts w:ascii="Times New Roman" w:hAnsi="Times New Roman"/>
          <w:sz w:val="28"/>
          <w:szCs w:val="28"/>
        </w:rPr>
        <w:t>HSJC</w:t>
      </w:r>
      <w:r>
        <w:rPr>
          <w:rFonts w:hint="eastAsia" w:ascii="Times New Roman" w:hAnsi="Times New Roman"/>
          <w:sz w:val="28"/>
          <w:szCs w:val="28"/>
          <w:lang w:val="en-US" w:eastAsia="zh-CN"/>
        </w:rPr>
        <w:t>20190813002。</w:t>
      </w:r>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宋体"/>
          <w:sz w:val="28"/>
          <w:szCs w:val="28"/>
        </w:rPr>
        <w:t>、废气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宋体" w:eastAsia="宋体"/>
          <w:sz w:val="28"/>
          <w:szCs w:val="28"/>
          <w:lang w:val="en-US" w:eastAsia="zh-CN"/>
        </w:rPr>
      </w:pPr>
      <w:r>
        <w:rPr>
          <w:rFonts w:hint="eastAsia" w:ascii="Times New Roman" w:hAnsi="宋体"/>
          <w:sz w:val="28"/>
          <w:szCs w:val="28"/>
          <w:lang w:eastAsia="zh-CN"/>
        </w:rPr>
        <w:t>焊接、打磨工序产生的烟尘、粉尘，设置机械抽排风装置，通过加强车间的通风量进一步稀释废气浓度，执行广东省《大气污染物排放限值》（DB44/27-2001）第二时段无组织排放监控浓度限值。</w:t>
      </w:r>
      <w:r>
        <w:rPr>
          <w:rFonts w:hint="eastAsia" w:ascii="Times New Roman" w:hAnsi="宋体"/>
          <w:sz w:val="28"/>
          <w:szCs w:val="28"/>
        </w:rPr>
        <w:t>见监测报告</w:t>
      </w:r>
      <w:r>
        <w:rPr>
          <w:rFonts w:ascii="Times New Roman" w:hAnsi="Times New Roman"/>
          <w:sz w:val="28"/>
          <w:szCs w:val="28"/>
        </w:rPr>
        <w:t>HSJC</w:t>
      </w:r>
      <w:r>
        <w:rPr>
          <w:rFonts w:hint="eastAsia" w:ascii="Times New Roman" w:hAnsi="Times New Roman"/>
          <w:sz w:val="28"/>
          <w:szCs w:val="28"/>
          <w:lang w:val="en-US" w:eastAsia="zh-CN"/>
        </w:rPr>
        <w:t>20190813002。</w:t>
      </w:r>
    </w:p>
    <w:p>
      <w:pPr>
        <w:spacing w:line="360" w:lineRule="auto"/>
        <w:ind w:firstLine="560" w:firstLineChars="200"/>
        <w:rPr>
          <w:rFonts w:ascii="Times New Roman" w:hAnsi="Times New Roman"/>
          <w:sz w:val="28"/>
          <w:szCs w:val="28"/>
        </w:rPr>
      </w:pPr>
      <w:r>
        <w:rPr>
          <w:rFonts w:ascii="Times New Roman" w:hAnsi="Times New Roman"/>
          <w:sz w:val="28"/>
          <w:szCs w:val="28"/>
        </w:rPr>
        <w:t>3.</w:t>
      </w:r>
      <w:r>
        <w:rPr>
          <w:rFonts w:hint="eastAsia" w:ascii="Times New Roman" w:hAnsi="宋体"/>
          <w:sz w:val="28"/>
          <w:szCs w:val="28"/>
        </w:rPr>
        <w:t>噪声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宋体"/>
          <w:sz w:val="28"/>
          <w:szCs w:val="28"/>
        </w:rPr>
      </w:pPr>
      <w:r>
        <w:rPr>
          <w:rFonts w:hint="eastAsia" w:ascii="Times New Roman" w:hAnsi="宋体"/>
          <w:sz w:val="28"/>
          <w:szCs w:val="28"/>
          <w:lang w:eastAsia="zh-CN"/>
        </w:rPr>
        <w:t>项目已</w:t>
      </w:r>
      <w:r>
        <w:rPr>
          <w:rFonts w:hint="eastAsia" w:ascii="Times New Roman" w:hAnsi="宋体"/>
          <w:sz w:val="28"/>
          <w:szCs w:val="28"/>
        </w:rPr>
        <w:t>做好生产设备的消声降噪措施，噪声不得超过《工业企业厂界环境噪声排放标准》（GB12348-2008）3类标准。见监测报告</w:t>
      </w:r>
      <w:r>
        <w:rPr>
          <w:rFonts w:ascii="Times New Roman" w:hAnsi="Times New Roman"/>
          <w:sz w:val="28"/>
          <w:szCs w:val="28"/>
        </w:rPr>
        <w:t>HSJC</w:t>
      </w:r>
      <w:r>
        <w:rPr>
          <w:rFonts w:hint="eastAsia" w:ascii="Times New Roman" w:hAnsi="Times New Roman"/>
          <w:sz w:val="28"/>
          <w:szCs w:val="28"/>
          <w:lang w:val="en-US" w:eastAsia="zh-CN"/>
        </w:rPr>
        <w:t>20190813002。</w:t>
      </w:r>
    </w:p>
    <w:p>
      <w:pPr>
        <w:spacing w:line="360" w:lineRule="auto"/>
        <w:ind w:firstLine="560" w:firstLineChars="200"/>
        <w:rPr>
          <w:rFonts w:ascii="Times New Roman" w:hAnsi="Times New Roman"/>
          <w:sz w:val="28"/>
          <w:szCs w:val="28"/>
        </w:rPr>
      </w:pPr>
      <w:r>
        <w:rPr>
          <w:rFonts w:hint="eastAsia" w:ascii="Times New Roman" w:hAnsi="宋体"/>
          <w:sz w:val="28"/>
          <w:szCs w:val="28"/>
        </w:rPr>
        <w:t>现场检查时生产设备及污染防治设施运转正常。</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五、工程建设对环境的影响</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本项目的生活污水经处理</w:t>
      </w:r>
      <w:r>
        <w:rPr>
          <w:rFonts w:hint="eastAsia" w:ascii="Times New Roman" w:hAnsi="宋体"/>
          <w:sz w:val="28"/>
          <w:szCs w:val="28"/>
          <w:lang w:eastAsia="zh-CN"/>
        </w:rPr>
        <w:t>达到</w:t>
      </w:r>
      <w:r>
        <w:rPr>
          <w:rFonts w:hint="eastAsia" w:ascii="Times New Roman" w:hAnsi="宋体"/>
          <w:sz w:val="28"/>
          <w:szCs w:val="28"/>
        </w:rPr>
        <w:t>标准后排入市政截污管网，引至</w:t>
      </w:r>
      <w:r>
        <w:rPr>
          <w:rFonts w:hint="eastAsia" w:ascii="Times New Roman" w:hAnsi="宋体" w:eastAsia="宋体"/>
          <w:sz w:val="28"/>
          <w:szCs w:val="28"/>
          <w:lang w:val="en-US" w:eastAsia="zh-CN"/>
        </w:rPr>
        <w:t>城镇污水处理厂处理</w:t>
      </w:r>
      <w:r>
        <w:rPr>
          <w:rFonts w:hint="eastAsia" w:ascii="Times New Roman" w:hAnsi="宋体"/>
          <w:sz w:val="28"/>
          <w:szCs w:val="28"/>
          <w:lang w:eastAsia="zh-CN"/>
        </w:rPr>
        <w:t>，焊接、打磨工序产生的烟尘、粉尘，设置机械抽排风装置，通过加强车间的通风量进一步稀释废气浓度</w:t>
      </w:r>
      <w:r>
        <w:rPr>
          <w:rFonts w:hint="eastAsia" w:ascii="Times New Roman" w:hAnsi="宋体"/>
          <w:sz w:val="28"/>
          <w:szCs w:val="28"/>
        </w:rPr>
        <w:t>，并做好</w:t>
      </w:r>
      <w:r>
        <w:rPr>
          <w:rFonts w:hint="eastAsia" w:ascii="Times New Roman" w:hAnsi="宋体"/>
          <w:sz w:val="28"/>
          <w:szCs w:val="28"/>
          <w:lang w:eastAsia="zh-CN"/>
        </w:rPr>
        <w:t>消声、</w:t>
      </w:r>
      <w:r>
        <w:rPr>
          <w:rFonts w:hint="eastAsia" w:ascii="Times New Roman" w:hAnsi="宋体"/>
          <w:sz w:val="28"/>
          <w:szCs w:val="28"/>
        </w:rPr>
        <w:t>隔声、</w:t>
      </w:r>
      <w:r>
        <w:rPr>
          <w:rFonts w:hint="eastAsia" w:ascii="Times New Roman" w:hAnsi="宋体"/>
          <w:sz w:val="28"/>
          <w:szCs w:val="28"/>
          <w:lang w:eastAsia="zh-CN"/>
        </w:rPr>
        <w:t>吸</w:t>
      </w:r>
      <w:r>
        <w:rPr>
          <w:rFonts w:hint="eastAsia" w:ascii="Times New Roman" w:hAnsi="宋体"/>
          <w:sz w:val="28"/>
          <w:szCs w:val="28"/>
        </w:rPr>
        <w:t>声、减震等降噪措施，对周边环境不会产生明显的影响。</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六、验收结论</w:t>
      </w:r>
    </w:p>
    <w:p>
      <w:pPr>
        <w:spacing w:line="360" w:lineRule="auto"/>
        <w:ind w:firstLine="560" w:firstLineChars="200"/>
        <w:rPr>
          <w:rFonts w:ascii="Times New Roman" w:hAnsi="Times New Roman"/>
          <w:sz w:val="28"/>
          <w:szCs w:val="28"/>
        </w:rPr>
      </w:pPr>
      <w:r>
        <w:rPr>
          <w:rFonts w:hint="eastAsia" w:ascii="Times New Roman" w:hAnsi="宋体"/>
          <w:sz w:val="28"/>
          <w:szCs w:val="28"/>
        </w:rPr>
        <w:t>本建设项目环境影响报告表经批准后，项目的地点、性质、规模和建设内容未发生重大变化，采取的废气、废水、噪声污染物防治措施基本落实了环评文件及环评批复的要求，同时满足</w:t>
      </w:r>
      <w:r>
        <w:rPr>
          <w:rFonts w:ascii="Times New Roman" w:hAnsi="Times New Roman"/>
          <w:sz w:val="28"/>
          <w:szCs w:val="28"/>
        </w:rPr>
        <w:t>“</w:t>
      </w:r>
      <w:r>
        <w:rPr>
          <w:rFonts w:hint="eastAsia" w:ascii="Times New Roman" w:hAnsi="宋体"/>
          <w:sz w:val="28"/>
          <w:szCs w:val="28"/>
        </w:rPr>
        <w:t>三同时</w:t>
      </w:r>
      <w:r>
        <w:rPr>
          <w:rFonts w:ascii="Times New Roman" w:hAnsi="Times New Roman"/>
          <w:sz w:val="28"/>
          <w:szCs w:val="28"/>
        </w:rPr>
        <w:t>”</w:t>
      </w:r>
      <w:r>
        <w:rPr>
          <w:rFonts w:hint="eastAsia" w:ascii="Times New Roman" w:hAnsi="宋体"/>
          <w:sz w:val="28"/>
          <w:szCs w:val="28"/>
        </w:rPr>
        <w:t>要求，验收监测报告总体符合相关技术规范，同意项目通过验收。</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七、建议</w:t>
      </w:r>
    </w:p>
    <w:p>
      <w:pPr>
        <w:spacing w:line="360" w:lineRule="auto"/>
        <w:ind w:firstLine="560" w:firstLineChars="200"/>
        <w:rPr>
          <w:rFonts w:ascii="Times New Roman" w:hAnsi="Times New Roman"/>
          <w:sz w:val="28"/>
          <w:szCs w:val="28"/>
        </w:rPr>
      </w:pPr>
      <w:r>
        <w:rPr>
          <w:rFonts w:hint="eastAsia" w:ascii="Times New Roman" w:hAnsi="宋体"/>
          <w:sz w:val="28"/>
          <w:szCs w:val="28"/>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560" w:firstLineChars="200"/>
        <w:rPr>
          <w:rFonts w:ascii="Times New Roman" w:hAnsi="Times New Roman"/>
          <w:sz w:val="28"/>
          <w:szCs w:val="28"/>
        </w:rPr>
      </w:pPr>
      <w:r>
        <w:rPr>
          <w:rFonts w:hint="eastAsia" w:ascii="Times New Roman" w:hAnsi="宋体"/>
          <w:sz w:val="28"/>
          <w:szCs w:val="28"/>
        </w:rPr>
        <w:t>（二）完善废气处理设施操作规程和运行管理制度。</w:t>
      </w:r>
    </w:p>
    <w:p>
      <w:pPr>
        <w:spacing w:line="360" w:lineRule="auto"/>
        <w:ind w:firstLine="560" w:firstLineChars="200"/>
        <w:rPr>
          <w:rFonts w:ascii="Times New Roman" w:hAnsi="Times New Roman"/>
          <w:sz w:val="28"/>
          <w:szCs w:val="28"/>
        </w:rPr>
      </w:pPr>
      <w:r>
        <w:rPr>
          <w:rFonts w:hint="eastAsia" w:ascii="Times New Roman" w:hAnsi="宋体"/>
          <w:sz w:val="28"/>
          <w:szCs w:val="28"/>
        </w:rPr>
        <w:t>（三）按国家、省、市关于信息公开的法律法规及文件要求，做好相关环节信息公开工作。</w:t>
      </w:r>
    </w:p>
    <w:p>
      <w:pPr>
        <w:spacing w:line="480" w:lineRule="exact"/>
        <w:ind w:left="420" w:firstLine="560" w:firstLineChars="200"/>
        <w:rPr>
          <w:rFonts w:ascii="Times New Roman" w:hAnsi="Times New Roman"/>
          <w:bCs/>
          <w:sz w:val="28"/>
          <w:szCs w:val="28"/>
        </w:rPr>
      </w:pPr>
    </w:p>
    <w:p>
      <w:pPr>
        <w:outlineLvl w:val="0"/>
        <w:rPr>
          <w:rFonts w:ascii="Times New Roman" w:hAnsi="Times New Roman"/>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ascii="Times New Roman" w:hAnsi="Times New Roman"/>
          <w:sz w:val="28"/>
          <w:szCs w:val="28"/>
        </w:rPr>
      </w:pPr>
      <w:r>
        <w:rPr>
          <w:rFonts w:hint="eastAsia" w:ascii="Times New Roman" w:hAnsi="宋体"/>
          <w:b/>
          <w:bCs/>
          <w:sz w:val="28"/>
          <w:szCs w:val="28"/>
        </w:rPr>
        <w:t>八、验收成员</w:t>
      </w:r>
    </w:p>
    <w:tbl>
      <w:tblPr>
        <w:tblStyle w:val="8"/>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3720"/>
        <w:gridCol w:w="283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center"/>
              <w:rPr>
                <w:rFonts w:ascii="Times New Roman" w:hAnsi="Times New Roman"/>
                <w:sz w:val="28"/>
                <w:szCs w:val="28"/>
              </w:rPr>
            </w:pPr>
            <w:r>
              <w:rPr>
                <w:rFonts w:hint="eastAsia" w:ascii="Times New Roman" w:hAnsi="宋体"/>
                <w:sz w:val="28"/>
                <w:szCs w:val="28"/>
              </w:rPr>
              <w:t>姓名</w:t>
            </w:r>
          </w:p>
        </w:tc>
        <w:tc>
          <w:tcPr>
            <w:tcW w:w="3720" w:type="dxa"/>
          </w:tcPr>
          <w:p>
            <w:pPr>
              <w:spacing w:line="360" w:lineRule="auto"/>
              <w:jc w:val="center"/>
              <w:rPr>
                <w:rFonts w:ascii="Times New Roman" w:hAnsi="Times New Roman"/>
                <w:sz w:val="28"/>
                <w:szCs w:val="28"/>
              </w:rPr>
            </w:pPr>
            <w:r>
              <w:rPr>
                <w:rFonts w:hint="eastAsia" w:ascii="Times New Roman" w:hAnsi="宋体"/>
                <w:sz w:val="28"/>
                <w:szCs w:val="28"/>
              </w:rPr>
              <w:t>工作单位</w:t>
            </w:r>
          </w:p>
        </w:tc>
        <w:tc>
          <w:tcPr>
            <w:tcW w:w="2835" w:type="dxa"/>
          </w:tcPr>
          <w:p>
            <w:pPr>
              <w:spacing w:line="360" w:lineRule="auto"/>
              <w:jc w:val="center"/>
              <w:rPr>
                <w:rFonts w:ascii="Times New Roman" w:hAnsi="Times New Roman"/>
                <w:sz w:val="28"/>
                <w:szCs w:val="28"/>
              </w:rPr>
            </w:pPr>
            <w:r>
              <w:rPr>
                <w:rFonts w:hint="eastAsia" w:ascii="Times New Roman" w:hAnsi="宋体"/>
                <w:sz w:val="28"/>
                <w:szCs w:val="28"/>
              </w:rPr>
              <w:t>职称或职务</w:t>
            </w:r>
          </w:p>
        </w:tc>
        <w:tc>
          <w:tcPr>
            <w:tcW w:w="2131" w:type="dxa"/>
          </w:tcPr>
          <w:p>
            <w:pPr>
              <w:spacing w:line="360" w:lineRule="auto"/>
              <w:jc w:val="center"/>
              <w:rPr>
                <w:rFonts w:ascii="Times New Roman" w:hAnsi="Times New Roman"/>
                <w:sz w:val="28"/>
                <w:szCs w:val="28"/>
              </w:rPr>
            </w:pPr>
            <w:r>
              <w:rPr>
                <w:rFonts w:hint="eastAsia" w:ascii="Times New Roman" w:hAnsi="宋体"/>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bl>
    <w:p>
      <w:pPr>
        <w:rPr>
          <w:rFonts w:ascii="Times New Roman" w:hAnsi="Times New Roman"/>
          <w:sz w:val="28"/>
          <w:szCs w:val="28"/>
        </w:rPr>
      </w:pPr>
    </w:p>
    <w:p>
      <w:pPr>
        <w:ind w:left="5459" w:leftChars="333" w:hanging="4760" w:hangingChars="1700"/>
        <w:rPr>
          <w:rFonts w:ascii="Times New Roman" w:hAnsi="Times New Roman"/>
          <w:sz w:val="28"/>
          <w:szCs w:val="28"/>
        </w:rPr>
      </w:pPr>
      <w:r>
        <w:rPr>
          <w:rFonts w:ascii="Times New Roman" w:hAnsi="Times New Roman"/>
          <w:sz w:val="28"/>
          <w:szCs w:val="28"/>
        </w:rPr>
        <w:t xml:space="preserve">                      </w:t>
      </w:r>
      <w:r>
        <w:rPr>
          <w:rFonts w:hint="eastAsia" w:ascii="Times New Roman" w:hAnsi="宋体"/>
          <w:sz w:val="28"/>
          <w:szCs w:val="28"/>
          <w:lang w:eastAsia="zh-CN"/>
        </w:rPr>
        <w:t>东莞市艾科智能自动化设备有限公司</w:t>
      </w:r>
      <w:r>
        <w:rPr>
          <w:rFonts w:ascii="Times New Roman" w:hAnsi="Times New Roman"/>
          <w:sz w:val="28"/>
          <w:szCs w:val="28"/>
        </w:rPr>
        <w:t xml:space="preserve">                            2019</w:t>
      </w:r>
      <w:r>
        <w:rPr>
          <w:rFonts w:hint="eastAsia" w:ascii="Times New Roman" w:hAnsi="宋体"/>
          <w:sz w:val="28"/>
          <w:szCs w:val="28"/>
        </w:rPr>
        <w:t>年</w:t>
      </w:r>
      <w:r>
        <w:rPr>
          <w:rFonts w:hint="eastAsia" w:ascii="Times New Roman" w:hAnsi="宋体"/>
          <w:sz w:val="28"/>
          <w:szCs w:val="28"/>
          <w:lang w:val="en-US" w:eastAsia="zh-CN"/>
        </w:rPr>
        <w:t>8</w:t>
      </w:r>
      <w:r>
        <w:rPr>
          <w:rFonts w:hint="eastAsia" w:ascii="Times New Roman" w:hAnsi="宋体"/>
          <w:sz w:val="28"/>
          <w:szCs w:val="28"/>
        </w:rPr>
        <w:t>月</w:t>
      </w:r>
      <w:r>
        <w:rPr>
          <w:rFonts w:ascii="Times New Roman" w:hAnsi="Times New Roman"/>
          <w:sz w:val="28"/>
          <w:szCs w:val="28"/>
        </w:rPr>
        <w:t xml:space="preserve"> </w:t>
      </w:r>
      <w:r>
        <w:rPr>
          <w:rFonts w:hint="eastAsia" w:ascii="Times New Roman" w:hAnsi="Times New Roman"/>
          <w:sz w:val="28"/>
          <w:szCs w:val="28"/>
          <w:lang w:val="en-US" w:eastAsia="zh-CN"/>
        </w:rPr>
        <w:t>14</w:t>
      </w:r>
      <w:bookmarkStart w:id="2" w:name="_GoBack"/>
      <w:bookmarkEnd w:id="2"/>
      <w:r>
        <w:rPr>
          <w:rFonts w:hint="eastAsia" w:ascii="Times New Roman" w:hAnsi="宋体"/>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5</w:t>
                </w:r>
                <w:r>
                  <w:fldChar w:fldCharType="end"/>
                </w:r>
                <w:r>
                  <w:t xml:space="preserve"> </w:t>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E0681"/>
    <w:multiLevelType w:val="singleLevel"/>
    <w:tmpl w:val="8ACE0681"/>
    <w:lvl w:ilvl="0" w:tentative="0">
      <w:start w:val="1"/>
      <w:numFmt w:val="chineseCounting"/>
      <w:suff w:val="nothing"/>
      <w:lvlText w:val="（%1）"/>
      <w:lvlJc w:val="left"/>
      <w:rPr>
        <w:rFonts w:hint="eastAsia" w:cs="Times New Roman"/>
      </w:rPr>
    </w:lvl>
  </w:abstractNum>
  <w:abstractNum w:abstractNumId="1">
    <w:nsid w:val="B4BE8599"/>
    <w:multiLevelType w:val="singleLevel"/>
    <w:tmpl w:val="B4BE859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653"/>
    <w:rsid w:val="000860E1"/>
    <w:rsid w:val="000B5332"/>
    <w:rsid w:val="001A0CB8"/>
    <w:rsid w:val="001A7EC4"/>
    <w:rsid w:val="001C3919"/>
    <w:rsid w:val="001D7B90"/>
    <w:rsid w:val="00240D82"/>
    <w:rsid w:val="00332653"/>
    <w:rsid w:val="00362851"/>
    <w:rsid w:val="003C7616"/>
    <w:rsid w:val="0041034D"/>
    <w:rsid w:val="00464D4A"/>
    <w:rsid w:val="00492EBE"/>
    <w:rsid w:val="0051719F"/>
    <w:rsid w:val="005931D0"/>
    <w:rsid w:val="007943B4"/>
    <w:rsid w:val="008A622B"/>
    <w:rsid w:val="008C3E99"/>
    <w:rsid w:val="009007E4"/>
    <w:rsid w:val="00A16867"/>
    <w:rsid w:val="00AA12E1"/>
    <w:rsid w:val="00AF2408"/>
    <w:rsid w:val="00C553D8"/>
    <w:rsid w:val="00CA06F3"/>
    <w:rsid w:val="00D719B2"/>
    <w:rsid w:val="00D9085D"/>
    <w:rsid w:val="00D91DA1"/>
    <w:rsid w:val="00DE1E8D"/>
    <w:rsid w:val="00E37DF5"/>
    <w:rsid w:val="00F10618"/>
    <w:rsid w:val="00FB5325"/>
    <w:rsid w:val="00FF7A77"/>
    <w:rsid w:val="0139557C"/>
    <w:rsid w:val="016611C4"/>
    <w:rsid w:val="017373D9"/>
    <w:rsid w:val="02086466"/>
    <w:rsid w:val="027222F0"/>
    <w:rsid w:val="02880A22"/>
    <w:rsid w:val="03603F87"/>
    <w:rsid w:val="042504EB"/>
    <w:rsid w:val="04EE2D92"/>
    <w:rsid w:val="051D2F02"/>
    <w:rsid w:val="05210C01"/>
    <w:rsid w:val="054E08B6"/>
    <w:rsid w:val="056F10A8"/>
    <w:rsid w:val="05B33BA9"/>
    <w:rsid w:val="05B521F6"/>
    <w:rsid w:val="05C55494"/>
    <w:rsid w:val="064A013F"/>
    <w:rsid w:val="065132E4"/>
    <w:rsid w:val="06A149FE"/>
    <w:rsid w:val="06C91477"/>
    <w:rsid w:val="070F3838"/>
    <w:rsid w:val="071723D5"/>
    <w:rsid w:val="07315CC3"/>
    <w:rsid w:val="07595488"/>
    <w:rsid w:val="079D32CF"/>
    <w:rsid w:val="07DF1EAC"/>
    <w:rsid w:val="08A263B3"/>
    <w:rsid w:val="08CC7F73"/>
    <w:rsid w:val="08DF3503"/>
    <w:rsid w:val="094E1577"/>
    <w:rsid w:val="09B41BB0"/>
    <w:rsid w:val="09F2430A"/>
    <w:rsid w:val="0A480828"/>
    <w:rsid w:val="0A5375EC"/>
    <w:rsid w:val="0AEA6549"/>
    <w:rsid w:val="0BED60E4"/>
    <w:rsid w:val="0C2B777D"/>
    <w:rsid w:val="0C472341"/>
    <w:rsid w:val="0C95641C"/>
    <w:rsid w:val="0CDD2D1B"/>
    <w:rsid w:val="0D2242E6"/>
    <w:rsid w:val="0D9D5410"/>
    <w:rsid w:val="0ECC0C66"/>
    <w:rsid w:val="0EEC7590"/>
    <w:rsid w:val="0EF9674A"/>
    <w:rsid w:val="0F743DAB"/>
    <w:rsid w:val="10337E92"/>
    <w:rsid w:val="10437719"/>
    <w:rsid w:val="1052683D"/>
    <w:rsid w:val="10FE2F53"/>
    <w:rsid w:val="1114719E"/>
    <w:rsid w:val="11213569"/>
    <w:rsid w:val="115A5A11"/>
    <w:rsid w:val="11BA4957"/>
    <w:rsid w:val="11E05108"/>
    <w:rsid w:val="11FB46DD"/>
    <w:rsid w:val="131E3065"/>
    <w:rsid w:val="13394AB3"/>
    <w:rsid w:val="136B6542"/>
    <w:rsid w:val="13724950"/>
    <w:rsid w:val="13757A54"/>
    <w:rsid w:val="13C168DA"/>
    <w:rsid w:val="13D45378"/>
    <w:rsid w:val="13E8226B"/>
    <w:rsid w:val="14DE2BBD"/>
    <w:rsid w:val="150A554C"/>
    <w:rsid w:val="15DF448C"/>
    <w:rsid w:val="16825362"/>
    <w:rsid w:val="17205556"/>
    <w:rsid w:val="172D53A3"/>
    <w:rsid w:val="17FC4AEB"/>
    <w:rsid w:val="189B202F"/>
    <w:rsid w:val="18C307C0"/>
    <w:rsid w:val="18E805B2"/>
    <w:rsid w:val="18F64B32"/>
    <w:rsid w:val="19095BAD"/>
    <w:rsid w:val="19C50643"/>
    <w:rsid w:val="19D9226B"/>
    <w:rsid w:val="19E32301"/>
    <w:rsid w:val="1A570DBC"/>
    <w:rsid w:val="1B295B54"/>
    <w:rsid w:val="1B970F97"/>
    <w:rsid w:val="1BCB365B"/>
    <w:rsid w:val="1BD017D9"/>
    <w:rsid w:val="1CFA355D"/>
    <w:rsid w:val="1D21674B"/>
    <w:rsid w:val="1E18694A"/>
    <w:rsid w:val="1E497D1A"/>
    <w:rsid w:val="1E5C13A8"/>
    <w:rsid w:val="1EC31340"/>
    <w:rsid w:val="1EE11F3D"/>
    <w:rsid w:val="1F1A380E"/>
    <w:rsid w:val="1FEE6557"/>
    <w:rsid w:val="20666A72"/>
    <w:rsid w:val="208F1595"/>
    <w:rsid w:val="20907159"/>
    <w:rsid w:val="20962DCB"/>
    <w:rsid w:val="20B002BE"/>
    <w:rsid w:val="2161507C"/>
    <w:rsid w:val="21685C2C"/>
    <w:rsid w:val="217834B5"/>
    <w:rsid w:val="21C26207"/>
    <w:rsid w:val="22777F76"/>
    <w:rsid w:val="22991059"/>
    <w:rsid w:val="230B39EB"/>
    <w:rsid w:val="23603E57"/>
    <w:rsid w:val="23DA7D94"/>
    <w:rsid w:val="241237B7"/>
    <w:rsid w:val="247E2CFE"/>
    <w:rsid w:val="24902725"/>
    <w:rsid w:val="24B769F4"/>
    <w:rsid w:val="28C262E3"/>
    <w:rsid w:val="2906111A"/>
    <w:rsid w:val="292A1D93"/>
    <w:rsid w:val="29C369DF"/>
    <w:rsid w:val="29D7241E"/>
    <w:rsid w:val="29DC2444"/>
    <w:rsid w:val="2A214EAB"/>
    <w:rsid w:val="2A394A76"/>
    <w:rsid w:val="2A4D39AC"/>
    <w:rsid w:val="2AA16A72"/>
    <w:rsid w:val="2B0F5789"/>
    <w:rsid w:val="2C172C94"/>
    <w:rsid w:val="2C7A150F"/>
    <w:rsid w:val="2C7D68B8"/>
    <w:rsid w:val="2D373DF3"/>
    <w:rsid w:val="2D590015"/>
    <w:rsid w:val="2D7A064B"/>
    <w:rsid w:val="2D964983"/>
    <w:rsid w:val="2DD443A5"/>
    <w:rsid w:val="2DEE003E"/>
    <w:rsid w:val="2DF52C39"/>
    <w:rsid w:val="2EF1683C"/>
    <w:rsid w:val="2EF4591E"/>
    <w:rsid w:val="2F4E2E15"/>
    <w:rsid w:val="2F6E13D6"/>
    <w:rsid w:val="2F9A0634"/>
    <w:rsid w:val="2FAE5DA6"/>
    <w:rsid w:val="310E5319"/>
    <w:rsid w:val="317926AE"/>
    <w:rsid w:val="320D47C3"/>
    <w:rsid w:val="32106581"/>
    <w:rsid w:val="32395C48"/>
    <w:rsid w:val="335F1C8B"/>
    <w:rsid w:val="33AC7F45"/>
    <w:rsid w:val="33EA6619"/>
    <w:rsid w:val="34B05925"/>
    <w:rsid w:val="35215E57"/>
    <w:rsid w:val="35421393"/>
    <w:rsid w:val="35451357"/>
    <w:rsid w:val="356C1EFE"/>
    <w:rsid w:val="35ED5E59"/>
    <w:rsid w:val="363A7433"/>
    <w:rsid w:val="363F3ABA"/>
    <w:rsid w:val="36820683"/>
    <w:rsid w:val="36B1102F"/>
    <w:rsid w:val="37396CF0"/>
    <w:rsid w:val="375E4D17"/>
    <w:rsid w:val="379424B9"/>
    <w:rsid w:val="381013E2"/>
    <w:rsid w:val="383F3342"/>
    <w:rsid w:val="38AC27C1"/>
    <w:rsid w:val="38D217F1"/>
    <w:rsid w:val="39DA5C6A"/>
    <w:rsid w:val="3A637A57"/>
    <w:rsid w:val="3A7B50CE"/>
    <w:rsid w:val="3B142261"/>
    <w:rsid w:val="3B753CDB"/>
    <w:rsid w:val="3B794C8C"/>
    <w:rsid w:val="3BEE767A"/>
    <w:rsid w:val="3CA82748"/>
    <w:rsid w:val="3CC4740E"/>
    <w:rsid w:val="3CE81E4C"/>
    <w:rsid w:val="3CF747FC"/>
    <w:rsid w:val="3D727B66"/>
    <w:rsid w:val="3DEB5789"/>
    <w:rsid w:val="3EC36DA7"/>
    <w:rsid w:val="3F15334A"/>
    <w:rsid w:val="3F5806F8"/>
    <w:rsid w:val="402B5BEE"/>
    <w:rsid w:val="40651598"/>
    <w:rsid w:val="41351714"/>
    <w:rsid w:val="41E5447C"/>
    <w:rsid w:val="423F0CFD"/>
    <w:rsid w:val="424803FD"/>
    <w:rsid w:val="42A16527"/>
    <w:rsid w:val="42D54175"/>
    <w:rsid w:val="42E144C6"/>
    <w:rsid w:val="43E4796A"/>
    <w:rsid w:val="44732C67"/>
    <w:rsid w:val="44887644"/>
    <w:rsid w:val="44B03B99"/>
    <w:rsid w:val="44D66432"/>
    <w:rsid w:val="44E52601"/>
    <w:rsid w:val="44FB3290"/>
    <w:rsid w:val="45890408"/>
    <w:rsid w:val="45C21B86"/>
    <w:rsid w:val="45EB4BE6"/>
    <w:rsid w:val="4674779B"/>
    <w:rsid w:val="470D1C8B"/>
    <w:rsid w:val="47843AD7"/>
    <w:rsid w:val="478965A4"/>
    <w:rsid w:val="47E95156"/>
    <w:rsid w:val="47FF13A4"/>
    <w:rsid w:val="483B3C84"/>
    <w:rsid w:val="489420AD"/>
    <w:rsid w:val="48C07F97"/>
    <w:rsid w:val="48F30EDE"/>
    <w:rsid w:val="491D352F"/>
    <w:rsid w:val="498A3FDB"/>
    <w:rsid w:val="498F4C38"/>
    <w:rsid w:val="4A947E2A"/>
    <w:rsid w:val="4AE51A1D"/>
    <w:rsid w:val="4B1836FC"/>
    <w:rsid w:val="4B4E274B"/>
    <w:rsid w:val="4B7C29EF"/>
    <w:rsid w:val="4BA86F41"/>
    <w:rsid w:val="4BC3418C"/>
    <w:rsid w:val="4C305DEE"/>
    <w:rsid w:val="4C712CB1"/>
    <w:rsid w:val="4C872950"/>
    <w:rsid w:val="4CF11E2E"/>
    <w:rsid w:val="4D1A3130"/>
    <w:rsid w:val="4DD3236F"/>
    <w:rsid w:val="4E0971EA"/>
    <w:rsid w:val="4E3B3099"/>
    <w:rsid w:val="4E5F0886"/>
    <w:rsid w:val="4F6038A2"/>
    <w:rsid w:val="4F726EE6"/>
    <w:rsid w:val="4F884994"/>
    <w:rsid w:val="4FCC3048"/>
    <w:rsid w:val="4FFE2CC0"/>
    <w:rsid w:val="4FFE2CFB"/>
    <w:rsid w:val="50153F3D"/>
    <w:rsid w:val="50E40E8D"/>
    <w:rsid w:val="51765504"/>
    <w:rsid w:val="520A1544"/>
    <w:rsid w:val="523114CC"/>
    <w:rsid w:val="52BA375C"/>
    <w:rsid w:val="530A6B62"/>
    <w:rsid w:val="5353541E"/>
    <w:rsid w:val="53B94E86"/>
    <w:rsid w:val="5409469C"/>
    <w:rsid w:val="548754D4"/>
    <w:rsid w:val="54AB5E93"/>
    <w:rsid w:val="54CD72B8"/>
    <w:rsid w:val="552E733A"/>
    <w:rsid w:val="558F016D"/>
    <w:rsid w:val="55BD1B53"/>
    <w:rsid w:val="56796240"/>
    <w:rsid w:val="56D515BE"/>
    <w:rsid w:val="57186726"/>
    <w:rsid w:val="57921CD9"/>
    <w:rsid w:val="580738E1"/>
    <w:rsid w:val="58684335"/>
    <w:rsid w:val="586B08C6"/>
    <w:rsid w:val="58836D60"/>
    <w:rsid w:val="58E57404"/>
    <w:rsid w:val="5A1F7BC5"/>
    <w:rsid w:val="5BE1455A"/>
    <w:rsid w:val="5C4E30FD"/>
    <w:rsid w:val="5C7957C8"/>
    <w:rsid w:val="5C7F5406"/>
    <w:rsid w:val="5CA26FE7"/>
    <w:rsid w:val="5CB8679C"/>
    <w:rsid w:val="5DE72A23"/>
    <w:rsid w:val="5DEA27E1"/>
    <w:rsid w:val="5E272D6F"/>
    <w:rsid w:val="5E2A5389"/>
    <w:rsid w:val="5E872884"/>
    <w:rsid w:val="5EAB2044"/>
    <w:rsid w:val="5ED56FB0"/>
    <w:rsid w:val="5F030EDA"/>
    <w:rsid w:val="5F280C1D"/>
    <w:rsid w:val="5F9B7077"/>
    <w:rsid w:val="5FB17C89"/>
    <w:rsid w:val="5FCF46DA"/>
    <w:rsid w:val="5FFC0F9F"/>
    <w:rsid w:val="60CB4353"/>
    <w:rsid w:val="60D915DB"/>
    <w:rsid w:val="61123F60"/>
    <w:rsid w:val="61A9150E"/>
    <w:rsid w:val="61C318E5"/>
    <w:rsid w:val="629425AD"/>
    <w:rsid w:val="62CE3DA2"/>
    <w:rsid w:val="62D0462D"/>
    <w:rsid w:val="62D56AC4"/>
    <w:rsid w:val="6356049E"/>
    <w:rsid w:val="63833F81"/>
    <w:rsid w:val="64121127"/>
    <w:rsid w:val="641C1E63"/>
    <w:rsid w:val="64411661"/>
    <w:rsid w:val="66C93B86"/>
    <w:rsid w:val="66D157FA"/>
    <w:rsid w:val="676B05F0"/>
    <w:rsid w:val="678B7852"/>
    <w:rsid w:val="679C18E9"/>
    <w:rsid w:val="684B6F9A"/>
    <w:rsid w:val="68AF422A"/>
    <w:rsid w:val="68EC4B36"/>
    <w:rsid w:val="690F71C6"/>
    <w:rsid w:val="69AF02F6"/>
    <w:rsid w:val="6A162763"/>
    <w:rsid w:val="6A817DF4"/>
    <w:rsid w:val="6ACE66D1"/>
    <w:rsid w:val="6B574814"/>
    <w:rsid w:val="6C1F3EC4"/>
    <w:rsid w:val="6D062F53"/>
    <w:rsid w:val="6D8B5BC9"/>
    <w:rsid w:val="6D8E74DC"/>
    <w:rsid w:val="6DEE5A7D"/>
    <w:rsid w:val="6E675789"/>
    <w:rsid w:val="6EC407AF"/>
    <w:rsid w:val="6F1134E5"/>
    <w:rsid w:val="6F3C7EBF"/>
    <w:rsid w:val="6F837A45"/>
    <w:rsid w:val="6FC341AE"/>
    <w:rsid w:val="6FE46869"/>
    <w:rsid w:val="70C40B4B"/>
    <w:rsid w:val="713B7327"/>
    <w:rsid w:val="715A4425"/>
    <w:rsid w:val="716C2779"/>
    <w:rsid w:val="717A7054"/>
    <w:rsid w:val="7181591E"/>
    <w:rsid w:val="71D92C77"/>
    <w:rsid w:val="734C1A18"/>
    <w:rsid w:val="736F7710"/>
    <w:rsid w:val="739D468E"/>
    <w:rsid w:val="740A46B1"/>
    <w:rsid w:val="741E5A17"/>
    <w:rsid w:val="743F2409"/>
    <w:rsid w:val="749B05AB"/>
    <w:rsid w:val="74CB1C1A"/>
    <w:rsid w:val="75036CFE"/>
    <w:rsid w:val="765E6AE6"/>
    <w:rsid w:val="76E35EE0"/>
    <w:rsid w:val="775F4C5F"/>
    <w:rsid w:val="78242022"/>
    <w:rsid w:val="795E3584"/>
    <w:rsid w:val="796408D9"/>
    <w:rsid w:val="79782BCD"/>
    <w:rsid w:val="7A1A4A01"/>
    <w:rsid w:val="7A3C5A9F"/>
    <w:rsid w:val="7A972A62"/>
    <w:rsid w:val="7ACC518C"/>
    <w:rsid w:val="7BAD3796"/>
    <w:rsid w:val="7C700572"/>
    <w:rsid w:val="7C704E89"/>
    <w:rsid w:val="7C7277DE"/>
    <w:rsid w:val="7CD744DD"/>
    <w:rsid w:val="7DA15DBA"/>
    <w:rsid w:val="7DAE3FD1"/>
    <w:rsid w:val="7DC20509"/>
    <w:rsid w:val="7E0E2E22"/>
    <w:rsid w:val="7E453892"/>
    <w:rsid w:val="7E4C72AC"/>
    <w:rsid w:val="7E6D4078"/>
    <w:rsid w:val="7E767785"/>
    <w:rsid w:val="7EFD6031"/>
    <w:rsid w:val="7F3D0089"/>
    <w:rsid w:val="7FAC56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2"/>
    <w:semiHidden/>
    <w:qFormat/>
    <w:uiPriority w:val="99"/>
    <w:pPr>
      <w:shd w:val="clear" w:color="auto" w:fill="000080"/>
    </w:pPr>
  </w:style>
  <w:style w:type="paragraph" w:styleId="3">
    <w:name w:val="annotation text"/>
    <w:basedOn w:val="1"/>
    <w:link w:val="13"/>
    <w:semiHidden/>
    <w:qFormat/>
    <w:uiPriority w:val="99"/>
    <w:pPr>
      <w:jc w:val="left"/>
    </w:pPr>
  </w:style>
  <w:style w:type="paragraph" w:styleId="4">
    <w:name w:val="Balloon Text"/>
    <w:basedOn w:val="1"/>
    <w:link w:val="14"/>
    <w:semiHidden/>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rPr>
  </w:style>
  <w:style w:type="paragraph" w:styleId="6">
    <w:name w:val="header"/>
    <w:basedOn w:val="1"/>
    <w:link w:val="16"/>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7"/>
    <w:semiHidden/>
    <w:qFormat/>
    <w:uiPriority w:val="99"/>
    <w:rPr>
      <w:b/>
      <w:bCs/>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annotation reference"/>
    <w:basedOn w:val="10"/>
    <w:semiHidden/>
    <w:qFormat/>
    <w:uiPriority w:val="99"/>
    <w:rPr>
      <w:rFonts w:cs="Times New Roman"/>
      <w:sz w:val="21"/>
      <w:szCs w:val="21"/>
    </w:rPr>
  </w:style>
  <w:style w:type="character" w:customStyle="1" w:styleId="12">
    <w:name w:val="Document Map Char"/>
    <w:basedOn w:val="10"/>
    <w:link w:val="2"/>
    <w:semiHidden/>
    <w:qFormat/>
    <w:locked/>
    <w:uiPriority w:val="99"/>
    <w:rPr>
      <w:rFonts w:ascii="Times New Roman" w:hAnsi="Times New Roman" w:cs="Times New Roman"/>
      <w:sz w:val="2"/>
    </w:rPr>
  </w:style>
  <w:style w:type="character" w:customStyle="1" w:styleId="13">
    <w:name w:val="Comment Text Char"/>
    <w:basedOn w:val="10"/>
    <w:link w:val="3"/>
    <w:semiHidden/>
    <w:qFormat/>
    <w:locked/>
    <w:uiPriority w:val="99"/>
    <w:rPr>
      <w:rFonts w:ascii="Calibri" w:hAnsi="Calibri" w:cs="Times New Roman"/>
      <w:sz w:val="24"/>
      <w:szCs w:val="24"/>
    </w:rPr>
  </w:style>
  <w:style w:type="character" w:customStyle="1" w:styleId="14">
    <w:name w:val="Balloon Text Char"/>
    <w:basedOn w:val="10"/>
    <w:link w:val="4"/>
    <w:semiHidden/>
    <w:qFormat/>
    <w:locked/>
    <w:uiPriority w:val="99"/>
    <w:rPr>
      <w:rFonts w:ascii="Calibri" w:hAnsi="Calibri" w:cs="Times New Roman"/>
      <w:sz w:val="2"/>
    </w:rPr>
  </w:style>
  <w:style w:type="character" w:customStyle="1" w:styleId="15">
    <w:name w:val="Footer Char"/>
    <w:basedOn w:val="10"/>
    <w:link w:val="5"/>
    <w:semiHidden/>
    <w:qFormat/>
    <w:locked/>
    <w:uiPriority w:val="99"/>
    <w:rPr>
      <w:rFonts w:ascii="Calibri" w:hAnsi="Calibri" w:cs="Times New Roman"/>
      <w:sz w:val="18"/>
      <w:szCs w:val="18"/>
    </w:rPr>
  </w:style>
  <w:style w:type="character" w:customStyle="1" w:styleId="16">
    <w:name w:val="Header Char"/>
    <w:basedOn w:val="10"/>
    <w:link w:val="6"/>
    <w:semiHidden/>
    <w:qFormat/>
    <w:locked/>
    <w:uiPriority w:val="99"/>
    <w:rPr>
      <w:rFonts w:ascii="Calibri" w:hAnsi="Calibri" w:cs="Times New Roman"/>
      <w:sz w:val="18"/>
      <w:szCs w:val="18"/>
    </w:rPr>
  </w:style>
  <w:style w:type="character" w:customStyle="1" w:styleId="17">
    <w:name w:val="Comment Subject Char"/>
    <w:basedOn w:val="13"/>
    <w:link w:val="7"/>
    <w:semiHidden/>
    <w:qFormat/>
    <w:locked/>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349</Words>
  <Characters>1994</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Administrator</cp:lastModifiedBy>
  <cp:lastPrinted>2019-04-30T01:43:00Z</cp:lastPrinted>
  <dcterms:modified xsi:type="dcterms:W3CDTF">2019-08-26T07:14:00Z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