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环固五金工业设备</w:t>
      </w:r>
      <w:r>
        <w:rPr>
          <w:rFonts w:hint="eastAsia" w:ascii="Times New Roman"/>
          <w:b/>
          <w:sz w:val="28"/>
          <w:szCs w:val="28"/>
        </w:rPr>
        <w:t>有限公司项目竣工环境保护验收意见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201</w:t>
      </w:r>
      <w:r>
        <w:rPr>
          <w:rFonts w:hint="eastAsia" w:ascii="Times New Roman" w:hAnsi="Times New Roman"/>
          <w:sz w:val="24"/>
          <w:szCs w:val="24"/>
          <w:lang w:val="en-US" w:eastAsia="zh-CN"/>
        </w:rPr>
        <w:t>9</w:t>
      </w:r>
      <w:r>
        <w:rPr>
          <w:rFonts w:hint="eastAsia" w:ascii="Times New Roman"/>
          <w:sz w:val="24"/>
          <w:szCs w:val="24"/>
        </w:rPr>
        <w:t>年</w:t>
      </w:r>
      <w:r>
        <w:rPr>
          <w:rFonts w:hint="eastAsia" w:ascii="Times New Roman"/>
          <w:sz w:val="24"/>
          <w:szCs w:val="24"/>
          <w:lang w:val="en-US" w:eastAsia="zh-CN"/>
        </w:rPr>
        <w:t>04</w:t>
      </w:r>
      <w:r>
        <w:rPr>
          <w:rFonts w:hint="eastAsia" w:ascii="Times New Roman"/>
          <w:sz w:val="24"/>
          <w:szCs w:val="24"/>
        </w:rPr>
        <w:t>月</w:t>
      </w:r>
      <w:r>
        <w:rPr>
          <w:rFonts w:hint="eastAsia" w:ascii="Times New Roman"/>
          <w:sz w:val="24"/>
          <w:szCs w:val="24"/>
          <w:lang w:val="en-US" w:eastAsia="zh-CN"/>
        </w:rPr>
        <w:t>30</w:t>
      </w:r>
      <w:r>
        <w:rPr>
          <w:rFonts w:hint="eastAsia" w:ascii="Times New Roman"/>
          <w:sz w:val="24"/>
          <w:szCs w:val="24"/>
        </w:rPr>
        <w:t>日东莞市</w:t>
      </w:r>
      <w:r>
        <w:rPr>
          <w:rFonts w:hint="eastAsia" w:ascii="Times New Roman"/>
          <w:sz w:val="24"/>
          <w:szCs w:val="24"/>
          <w:lang w:eastAsia="zh-CN"/>
        </w:rPr>
        <w:t>环固五金工业设备</w:t>
      </w:r>
      <w:r>
        <w:rPr>
          <w:rFonts w:hint="eastAsia" w:ascii="Times New Roman"/>
          <w:sz w:val="24"/>
          <w:szCs w:val="24"/>
        </w:rPr>
        <w:t>有限公司根据东莞市</w:t>
      </w:r>
      <w:r>
        <w:rPr>
          <w:rFonts w:hint="eastAsia" w:ascii="Times New Roman"/>
          <w:sz w:val="24"/>
          <w:szCs w:val="24"/>
          <w:lang w:eastAsia="zh-CN"/>
        </w:rPr>
        <w:t>环固五金工业设备</w:t>
      </w:r>
      <w:r>
        <w:rPr>
          <w:rFonts w:hint="eastAsia" w:ascii="Times New Roman"/>
          <w:sz w:val="24"/>
          <w:szCs w:val="24"/>
        </w:rPr>
        <w:t>有限公司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8"/>
        <w:rPr>
          <w:rFonts w:cs="Times New Roman"/>
        </w:rPr>
      </w:pPr>
      <w:r>
        <w:rPr>
          <w:rFonts w:hint="eastAsia" w:cs="Times New Roman"/>
        </w:rPr>
        <w:t>东莞市</w:t>
      </w:r>
      <w:r>
        <w:rPr>
          <w:rFonts w:hint="eastAsia" w:cs="Times New Roman"/>
          <w:lang w:eastAsia="zh-CN"/>
        </w:rPr>
        <w:t>环固五金工业设备</w:t>
      </w:r>
      <w:r>
        <w:rPr>
          <w:rFonts w:hint="eastAsia" w:cs="Times New Roman"/>
        </w:rPr>
        <w:t>有限公司位于</w:t>
      </w:r>
      <w:r>
        <w:rPr>
          <w:rFonts w:hint="eastAsia" w:cs="Times New Roman"/>
          <w:color w:val="000000"/>
        </w:rPr>
        <w:t>东莞市</w:t>
      </w:r>
      <w:r>
        <w:rPr>
          <w:rFonts w:hint="eastAsia" w:cs="Times New Roman"/>
          <w:color w:val="000000"/>
          <w:lang w:eastAsia="zh-CN"/>
        </w:rPr>
        <w:t>长安镇厦岗社区</w:t>
      </w:r>
      <w:r>
        <w:rPr>
          <w:rFonts w:hint="eastAsia" w:cs="Times New Roman"/>
          <w:color w:val="000000"/>
          <w:lang w:val="en-US" w:eastAsia="zh-CN"/>
        </w:rPr>
        <w:t>S358省道1638号三和厂区A栋一楼</w:t>
      </w:r>
      <w:r>
        <w:rPr>
          <w:rFonts w:hint="eastAsia" w:cs="Times New Roman"/>
          <w:bCs/>
          <w:color w:val="000000"/>
        </w:rPr>
        <w:t>（北纬</w:t>
      </w:r>
      <w:r>
        <w:rPr>
          <w:rFonts w:cs="Times New Roman"/>
          <w:bCs/>
          <w:color w:val="000000"/>
        </w:rPr>
        <w:t>22°</w:t>
      </w:r>
      <w:r>
        <w:rPr>
          <w:rFonts w:hint="eastAsia" w:cs="Times New Roman"/>
          <w:bCs/>
          <w:color w:val="000000"/>
          <w:lang w:val="en-US" w:eastAsia="zh-CN"/>
        </w:rPr>
        <w:t>48</w:t>
      </w:r>
      <w:r>
        <w:rPr>
          <w:rFonts w:cs="Times New Roman"/>
          <w:bCs/>
          <w:color w:val="000000"/>
        </w:rPr>
        <w:t>′</w:t>
      </w:r>
      <w:r>
        <w:rPr>
          <w:rFonts w:hint="eastAsia" w:cs="Times New Roman"/>
          <w:bCs/>
          <w:color w:val="000000"/>
          <w:lang w:val="en-US" w:eastAsia="zh-CN"/>
        </w:rPr>
        <w:t>15.16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10.25</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1200</w:t>
      </w:r>
      <w:r>
        <w:rPr>
          <w:rFonts w:cs="Times New Roman"/>
        </w:rPr>
        <w:t xml:space="preserve"> m</w:t>
      </w:r>
      <w:r>
        <w:rPr>
          <w:rFonts w:cs="Times New Roman"/>
          <w:vertAlign w:val="superscript"/>
        </w:rPr>
        <w:t>2</w:t>
      </w:r>
      <w:r>
        <w:rPr>
          <w:rFonts w:hint="eastAsia" w:cs="Times New Roman"/>
        </w:rPr>
        <w:t>，总投资</w:t>
      </w:r>
      <w:r>
        <w:rPr>
          <w:rFonts w:cs="Times New Roman"/>
        </w:rPr>
        <w:t>100</w:t>
      </w:r>
      <w:r>
        <w:rPr>
          <w:rFonts w:hint="eastAsia" w:cs="Times New Roman"/>
        </w:rPr>
        <w:t>万元，设有员工</w:t>
      </w:r>
      <w:r>
        <w:rPr>
          <w:rFonts w:hint="eastAsia" w:cs="Times New Roman"/>
          <w:lang w:val="en-US" w:eastAsia="zh-CN"/>
        </w:rPr>
        <w:t>30</w:t>
      </w:r>
      <w:r>
        <w:rPr>
          <w:rFonts w:hint="eastAsia" w:cs="Times New Roman"/>
        </w:rPr>
        <w:t>人，主要从事金属制品生产，年</w:t>
      </w:r>
      <w:r>
        <w:rPr>
          <w:rFonts w:hint="eastAsia" w:cs="Times New Roman"/>
          <w:lang w:eastAsia="zh-CN"/>
        </w:rPr>
        <w:t>加工生产工位器具</w:t>
      </w:r>
      <w:r>
        <w:rPr>
          <w:rFonts w:hint="eastAsia" w:cs="Times New Roman"/>
          <w:lang w:val="en-US" w:eastAsia="zh-CN"/>
        </w:rPr>
        <w:t>4000个</w:t>
      </w:r>
      <w:r>
        <w:rPr>
          <w:rFonts w:hint="eastAsia" w:cs="Times New Roman"/>
        </w:rPr>
        <w:t>。</w:t>
      </w:r>
    </w:p>
    <w:p>
      <w:pPr>
        <w:pStyle w:val="18"/>
        <w:ind w:firstLine="482"/>
        <w:rPr>
          <w:rFonts w:cs="Times New Roman"/>
          <w:b/>
        </w:rPr>
      </w:pPr>
      <w:r>
        <w:rPr>
          <w:rFonts w:hint="eastAsia" w:cs="Times New Roman"/>
          <w:b/>
        </w:rPr>
        <w:t>（二）建设过程及环保审批情况</w:t>
      </w:r>
    </w:p>
    <w:p>
      <w:pPr>
        <w:pStyle w:val="18"/>
        <w:rPr>
          <w:rFonts w:cs="Times New Roman"/>
          <w:color w:val="000000"/>
        </w:rPr>
      </w:pPr>
      <w:r>
        <w:rPr>
          <w:rFonts w:hint="eastAsia" w:cs="Times New Roman"/>
        </w:rPr>
        <w:t>东莞市</w:t>
      </w:r>
      <w:r>
        <w:rPr>
          <w:rFonts w:hint="eastAsia" w:cs="Times New Roman"/>
          <w:lang w:eastAsia="zh-CN"/>
        </w:rPr>
        <w:t>环固五金工业设备</w:t>
      </w:r>
      <w:r>
        <w:rPr>
          <w:rFonts w:hint="eastAsia" w:cs="Times New Roman"/>
          <w:color w:val="000000"/>
        </w:rPr>
        <w:t>有限公司于</w:t>
      </w:r>
      <w:r>
        <w:rPr>
          <w:rFonts w:cs="Times New Roman"/>
          <w:color w:val="000000"/>
        </w:rPr>
        <w:t>201</w:t>
      </w:r>
      <w:r>
        <w:rPr>
          <w:rFonts w:hint="eastAsia" w:cs="Times New Roman"/>
          <w:color w:val="000000"/>
          <w:lang w:val="en-US" w:eastAsia="zh-CN"/>
        </w:rPr>
        <w:t>7</w:t>
      </w:r>
      <w:r>
        <w:rPr>
          <w:rFonts w:hint="eastAsia" w:cs="Times New Roman"/>
          <w:color w:val="000000"/>
        </w:rPr>
        <w:t>年</w:t>
      </w:r>
      <w:r>
        <w:rPr>
          <w:rFonts w:cs="Times New Roman"/>
          <w:color w:val="000000"/>
        </w:rPr>
        <w:t>1</w:t>
      </w:r>
      <w:r>
        <w:rPr>
          <w:rFonts w:hint="eastAsia" w:cs="Times New Roman"/>
          <w:color w:val="000000"/>
          <w:lang w:val="en-US" w:eastAsia="zh-CN"/>
        </w:rPr>
        <w:t>2</w:t>
      </w:r>
      <w:r>
        <w:rPr>
          <w:rFonts w:hint="eastAsia" w:cs="Times New Roman"/>
          <w:color w:val="000000"/>
        </w:rPr>
        <w:t>月委托</w:t>
      </w:r>
      <w:r>
        <w:rPr>
          <w:rFonts w:hint="eastAsia" w:hAnsi="宋体" w:cs="Times New Roman"/>
          <w:bCs/>
          <w:color w:val="000000"/>
        </w:rPr>
        <w:t>深圳市宗兴环保科技有限公司</w:t>
      </w:r>
      <w:r>
        <w:rPr>
          <w:rFonts w:hint="eastAsia" w:cs="Times New Roman"/>
          <w:color w:val="000000"/>
        </w:rPr>
        <w:t>编制了《东莞市</w:t>
      </w:r>
      <w:r>
        <w:rPr>
          <w:rFonts w:hint="eastAsia" w:cs="Times New Roman"/>
          <w:color w:val="000000"/>
          <w:lang w:eastAsia="zh-CN"/>
        </w:rPr>
        <w:t>环固五金工业设备</w:t>
      </w:r>
      <w:r>
        <w:rPr>
          <w:rFonts w:hint="eastAsia" w:cs="Times New Roman"/>
          <w:color w:val="000000"/>
        </w:rPr>
        <w:t>有限公司建设项目环境影响报告表》，并通过了东莞市环保局</w:t>
      </w:r>
      <w:r>
        <w:rPr>
          <w:rFonts w:hint="eastAsia" w:cs="Times New Roman"/>
          <w:color w:val="000000"/>
          <w:lang w:eastAsia="zh-CN"/>
        </w:rPr>
        <w:t>长安</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8</w:t>
      </w:r>
      <w:r>
        <w:rPr>
          <w:rFonts w:hint="eastAsia" w:cs="Times New Roman"/>
          <w:color w:val="000000"/>
        </w:rPr>
        <w:t>〕</w:t>
      </w:r>
      <w:r>
        <w:rPr>
          <w:rFonts w:hint="eastAsia" w:cs="Times New Roman"/>
          <w:color w:val="000000"/>
          <w:lang w:val="en-US" w:eastAsia="zh-CN"/>
        </w:rPr>
        <w:t>200</w:t>
      </w:r>
      <w:r>
        <w:rPr>
          <w:rFonts w:hint="eastAsia" w:cs="Times New Roman"/>
          <w:color w:val="000000"/>
        </w:rPr>
        <w:t>号。</w:t>
      </w:r>
    </w:p>
    <w:p>
      <w:pPr>
        <w:adjustRightInd w:val="0"/>
        <w:spacing w:line="360" w:lineRule="auto"/>
        <w:ind w:firstLine="480" w:firstLineChars="200"/>
        <w:rPr>
          <w:rFonts w:hint="eastAsia" w:ascii="Times New Roman"/>
          <w:sz w:val="24"/>
          <w:szCs w:val="24"/>
          <w:lang w:eastAsia="zh-CN"/>
        </w:rPr>
      </w:pPr>
      <w:r>
        <w:rPr>
          <w:rFonts w:hint="eastAsia" w:ascii="Times New Roman"/>
          <w:sz w:val="24"/>
        </w:rPr>
        <w:t>项目于</w:t>
      </w:r>
      <w:r>
        <w:rPr>
          <w:rFonts w:ascii="Times New Roman" w:hAnsi="Times New Roman"/>
          <w:sz w:val="24"/>
        </w:rPr>
        <w:t>2018</w:t>
      </w:r>
      <w:r>
        <w:rPr>
          <w:rFonts w:hint="eastAsia" w:ascii="Times New Roman"/>
          <w:sz w:val="24"/>
        </w:rPr>
        <w:t>年</w:t>
      </w:r>
      <w:r>
        <w:rPr>
          <w:rFonts w:ascii="Times New Roman" w:hAnsi="Times New Roman"/>
          <w:sz w:val="24"/>
        </w:rPr>
        <w:t>1</w:t>
      </w:r>
      <w:r>
        <w:rPr>
          <w:rFonts w:hint="eastAsia" w:ascii="Times New Roman"/>
          <w:sz w:val="24"/>
        </w:rPr>
        <w:t>月开工建设，已于</w:t>
      </w:r>
      <w:r>
        <w:rPr>
          <w:rFonts w:ascii="Times New Roman" w:hAnsi="Times New Roman"/>
          <w:sz w:val="24"/>
        </w:rPr>
        <w:t>2018</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ascii="Times New Roman" w:hAnsi="Times New Roman"/>
          <w:sz w:val="24"/>
        </w:rPr>
        <w:t>100</w:t>
      </w:r>
      <w:r>
        <w:rPr>
          <w:rFonts w:hint="eastAsia" w:ascii="Times New Roman"/>
          <w:sz w:val="24"/>
        </w:rPr>
        <w:t>万元，其中环保投资为</w:t>
      </w:r>
      <w:r>
        <w:rPr>
          <w:rFonts w:hint="eastAsia" w:ascii="Times New Roman" w:hAnsi="Times New Roman"/>
          <w:sz w:val="24"/>
          <w:lang w:val="en-US" w:eastAsia="zh-CN"/>
        </w:rPr>
        <w:t>18</w:t>
      </w:r>
      <w:r>
        <w:rPr>
          <w:rFonts w:hint="eastAsia" w:ascii="Times New Roman"/>
          <w:sz w:val="24"/>
        </w:rPr>
        <w:t>万元，占总投资的</w:t>
      </w:r>
      <w:r>
        <w:rPr>
          <w:rFonts w:hint="eastAsia" w:ascii="Times New Roman" w:hAnsi="Times New Roman"/>
          <w:sz w:val="24"/>
          <w:lang w:val="en-US" w:eastAsia="zh-CN"/>
        </w:rPr>
        <w:t>18</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w:t>
      </w:r>
      <w:r>
        <w:rPr>
          <w:rFonts w:hint="eastAsia" w:ascii="Times New Roman"/>
          <w:sz w:val="24"/>
          <w:szCs w:val="24"/>
          <w:lang w:eastAsia="zh-CN"/>
        </w:rPr>
        <w:t>生活污水、</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ascii="Times New Roman" w:hAns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喷粉工序废气</w:t>
      </w:r>
      <w:r>
        <w:rPr>
          <w:rFonts w:hint="eastAsia" w:ascii="宋体" w:hAnsi="宋体" w:cs="宋体"/>
          <w:sz w:val="24"/>
          <w:szCs w:val="24"/>
          <w:lang w:eastAsia="zh-CN"/>
        </w:rPr>
        <w:t>收集经布袋除尘器处理</w:t>
      </w:r>
      <w:r>
        <w:rPr>
          <w:rFonts w:ascii="宋体" w:hAnsi="宋体" w:eastAsia="宋体" w:cs="宋体"/>
          <w:sz w:val="24"/>
          <w:szCs w:val="24"/>
        </w:rPr>
        <w:t>后高空排放，废气排放执行广东省《大气污染物排放限值》（DB44/27-2001）</w:t>
      </w:r>
      <w:r>
        <w:rPr>
          <w:rFonts w:hint="eastAsia" w:ascii="宋体" w:hAnsi="宋体" w:cs="宋体"/>
          <w:sz w:val="24"/>
          <w:szCs w:val="24"/>
          <w:lang w:eastAsia="zh-CN"/>
        </w:rPr>
        <w:t>第二时段</w:t>
      </w:r>
      <w:r>
        <w:rPr>
          <w:rFonts w:ascii="宋体" w:hAnsi="宋体" w:eastAsia="宋体" w:cs="宋体"/>
          <w:sz w:val="24"/>
          <w:szCs w:val="24"/>
        </w:rPr>
        <w:t>二级标准。</w:t>
      </w:r>
    </w:p>
    <w:p>
      <w:pPr>
        <w:spacing w:line="360" w:lineRule="auto"/>
        <w:ind w:firstLine="480" w:firstLineChars="200"/>
        <w:outlineLvl w:val="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烤粉工序产生的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引至</w:t>
      </w:r>
      <w:r>
        <w:rPr>
          <w:rFonts w:hint="eastAsia" w:ascii="宋体" w:hAnsi="宋体" w:cs="宋体"/>
          <w:sz w:val="24"/>
          <w:szCs w:val="24"/>
          <w:lang w:val="en-US" w:eastAsia="zh-CN"/>
        </w:rPr>
        <w:t>UV光解+活性炭吸附装置</w:t>
      </w:r>
      <w:r>
        <w:rPr>
          <w:rFonts w:ascii="宋体" w:hAnsi="宋体" w:eastAsia="宋体" w:cs="宋体"/>
          <w:sz w:val="24"/>
          <w:szCs w:val="24"/>
        </w:rPr>
        <w:t>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废气排放参照执行广东省《家具制造行业挥发性有机化合物排放标准》（DB44/814-2010）第 II 时段标准。</w:t>
      </w:r>
    </w:p>
    <w:p>
      <w:pPr>
        <w:spacing w:line="360" w:lineRule="auto"/>
        <w:ind w:firstLine="480" w:firstLineChars="200"/>
        <w:rPr>
          <w:rFonts w:ascii="宋体" w:hAnsi="宋体" w:eastAsia="宋体" w:cs="宋体"/>
          <w:b/>
          <w:bCs/>
          <w:sz w:val="24"/>
          <w:szCs w:val="24"/>
        </w:rPr>
      </w:pPr>
      <w:r>
        <w:rPr>
          <w:rFonts w:hint="eastAsia" w:ascii="宋体" w:hAnsi="宋体" w:cs="宋体"/>
          <w:sz w:val="24"/>
          <w:szCs w:val="24"/>
          <w:lang w:eastAsia="zh-CN"/>
        </w:rPr>
        <w:t>项目</w:t>
      </w:r>
      <w:r>
        <w:rPr>
          <w:rFonts w:ascii="宋体" w:hAnsi="宋体" w:eastAsia="宋体" w:cs="宋体"/>
          <w:sz w:val="24"/>
          <w:szCs w:val="24"/>
        </w:rPr>
        <w:t>加强车间通排风，开料、焊接工序废气排放执行广东省《大气污染物排放限值》（DB44/27-2001）</w:t>
      </w:r>
      <w:r>
        <w:rPr>
          <w:rFonts w:hint="eastAsia" w:ascii="宋体" w:hAnsi="宋体" w:cs="宋体"/>
          <w:sz w:val="24"/>
          <w:szCs w:val="24"/>
          <w:lang w:eastAsia="zh-CN"/>
        </w:rPr>
        <w:t>第二时段无组织排放</w:t>
      </w:r>
      <w:r>
        <w:rPr>
          <w:rFonts w:ascii="宋体" w:hAnsi="宋体" w:eastAsia="宋体" w:cs="宋体"/>
          <w:sz w:val="24"/>
          <w:szCs w:val="24"/>
        </w:rPr>
        <w:t>。</w:t>
      </w:r>
      <w:r>
        <w:rPr>
          <w:rFonts w:hint="eastAsia" w:ascii="Times New Roman" w:hAnsi="Times New Roman"/>
          <w:b/>
          <w:bCs/>
          <w:color w:val="000000"/>
          <w:sz w:val="24"/>
          <w:szCs w:val="24"/>
          <w:lang w:val="en-US" w:eastAsia="zh-CN"/>
        </w:rPr>
        <w:t>（注：该项废气环评批复意见为《合成树脂工业污染排放标准》（GB31572-2015）表9排放监控浓度限值，但根据《合成树脂工业污染排放标准》（GB31572-2015）表9排放监控浓度限值中没有颗粒物的排放浓度要求，所以本次验收根据环评报告表开料、焊接工序产生的颗粒物执行广东省《大气污染物排放限值》（DB44/27-2001）第二时段无组织排放标准执行）</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（一）污染物达标排放情况</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hint="eastAsia" w:ascii="Times New Roman" w:hAnsi="Times New Roman" w:eastAsia="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处理达到广东省《水污染物排放限值》（DB44/26-2001）第二时段三级标准后排入市政截污管网，引至城镇污水处理厂处理。</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20181210004</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喷粉工序废气</w:t>
      </w:r>
      <w:r>
        <w:rPr>
          <w:rFonts w:hint="eastAsia" w:ascii="宋体" w:hAnsi="宋体" w:cs="宋体"/>
          <w:sz w:val="24"/>
          <w:szCs w:val="24"/>
          <w:lang w:eastAsia="zh-CN"/>
        </w:rPr>
        <w:t>收集经布袋除尘器处理</w:t>
      </w:r>
      <w:r>
        <w:rPr>
          <w:rFonts w:ascii="宋体" w:hAnsi="宋体" w:eastAsia="宋体" w:cs="宋体"/>
          <w:sz w:val="24"/>
          <w:szCs w:val="24"/>
        </w:rPr>
        <w:t>后高空排放，废气排放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w:t>
      </w:r>
      <w:r>
        <w:rPr>
          <w:rFonts w:hint="eastAsia" w:ascii="宋体" w:hAnsi="宋体" w:cs="宋体"/>
          <w:sz w:val="24"/>
          <w:szCs w:val="24"/>
          <w:lang w:eastAsia="zh-CN"/>
        </w:rPr>
        <w:t>第二时段</w:t>
      </w:r>
      <w:r>
        <w:rPr>
          <w:rFonts w:ascii="宋体" w:hAnsi="宋体" w:eastAsia="宋体" w:cs="宋体"/>
          <w:sz w:val="24"/>
          <w:szCs w:val="24"/>
        </w:rPr>
        <w:t>二级标准。</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20181210004</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烤粉工序产生的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引至</w:t>
      </w:r>
      <w:r>
        <w:rPr>
          <w:rFonts w:hint="eastAsia" w:ascii="宋体" w:hAnsi="宋体" w:cs="宋体"/>
          <w:sz w:val="24"/>
          <w:szCs w:val="24"/>
          <w:lang w:val="en-US" w:eastAsia="zh-CN"/>
        </w:rPr>
        <w:t>UV光解+活性炭吸附装置</w:t>
      </w:r>
      <w:r>
        <w:rPr>
          <w:rFonts w:ascii="宋体" w:hAnsi="宋体" w:eastAsia="宋体" w:cs="宋体"/>
          <w:sz w:val="24"/>
          <w:szCs w:val="24"/>
        </w:rPr>
        <w:t>处理设施收集处理后高空排放，</w:t>
      </w:r>
      <w:r>
        <w:rPr>
          <w:rFonts w:hint="eastAsia" w:ascii="宋体" w:hAnsi="宋体" w:cs="宋体"/>
          <w:sz w:val="24"/>
          <w:szCs w:val="24"/>
          <w:lang w:eastAsia="zh-CN"/>
        </w:rPr>
        <w:t>有机</w:t>
      </w:r>
      <w:r>
        <w:rPr>
          <w:rFonts w:ascii="宋体" w:hAnsi="宋体" w:eastAsia="宋体" w:cs="宋体"/>
          <w:sz w:val="24"/>
          <w:szCs w:val="24"/>
        </w:rPr>
        <w:t>废气排放参照</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时段标准。</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20181210004</w:t>
      </w:r>
    </w:p>
    <w:p>
      <w:pPr>
        <w:spacing w:line="360" w:lineRule="auto"/>
        <w:ind w:firstLine="480" w:firstLineChars="200"/>
        <w:rPr>
          <w:rFonts w:hint="eastAsia" w:ascii="Times New Roman" w:hAnsi="Times New Roman"/>
          <w:b/>
          <w:bCs/>
          <w:color w:val="000000"/>
          <w:sz w:val="24"/>
          <w:szCs w:val="24"/>
          <w:lang w:val="en-US" w:eastAsia="zh-CN"/>
        </w:rPr>
      </w:pPr>
      <w:r>
        <w:rPr>
          <w:rFonts w:hint="eastAsia" w:ascii="宋体" w:hAnsi="宋体" w:cs="宋体"/>
          <w:sz w:val="24"/>
          <w:szCs w:val="24"/>
          <w:lang w:eastAsia="zh-CN"/>
        </w:rPr>
        <w:t>项目</w:t>
      </w:r>
      <w:r>
        <w:rPr>
          <w:rFonts w:ascii="宋体" w:hAnsi="宋体" w:eastAsia="宋体" w:cs="宋体"/>
          <w:sz w:val="24"/>
          <w:szCs w:val="24"/>
        </w:rPr>
        <w:t>加强车间通排风，开料、焊接工序废气排放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w:t>
      </w:r>
      <w:r>
        <w:rPr>
          <w:rFonts w:hint="eastAsia" w:ascii="宋体" w:hAnsi="宋体" w:cs="宋体"/>
          <w:sz w:val="24"/>
          <w:szCs w:val="24"/>
          <w:lang w:eastAsia="zh-CN"/>
        </w:rPr>
        <w:t>第二时段无组织排放</w:t>
      </w:r>
      <w:r>
        <w:rPr>
          <w:rFonts w:ascii="宋体" w:hAnsi="宋体" w:eastAsia="宋体" w:cs="宋体"/>
          <w:sz w:val="24"/>
          <w:szCs w:val="24"/>
        </w:rPr>
        <w:t>。</w:t>
      </w:r>
      <w:r>
        <w:rPr>
          <w:rFonts w:hint="eastAsia" w:ascii="Times New Roman" w:hAnsi="Times New Roman"/>
          <w:sz w:val="24"/>
          <w:szCs w:val="24"/>
        </w:rPr>
        <w:t>见监测报告</w:t>
      </w:r>
      <w:r>
        <w:rPr>
          <w:rFonts w:ascii="Times New Roman" w:hAnsi="Times New Roman"/>
          <w:color w:val="000000"/>
          <w:sz w:val="24"/>
          <w:szCs w:val="24"/>
        </w:rPr>
        <w:t>HSJC</w:t>
      </w:r>
      <w:r>
        <w:rPr>
          <w:rFonts w:hint="eastAsia" w:ascii="Times New Roman" w:hAnsi="Times New Roman"/>
          <w:color w:val="000000"/>
          <w:sz w:val="24"/>
          <w:szCs w:val="24"/>
        </w:rPr>
        <w:t>（验字）</w:t>
      </w:r>
      <w:r>
        <w:rPr>
          <w:rFonts w:hint="eastAsia" w:ascii="Times New Roman" w:hAnsi="Times New Roman"/>
          <w:color w:val="000000"/>
          <w:sz w:val="24"/>
          <w:szCs w:val="24"/>
          <w:lang w:val="en-US" w:eastAsia="zh-CN"/>
        </w:rPr>
        <w:t>20181210004</w:t>
      </w:r>
      <w:r>
        <w:rPr>
          <w:rFonts w:hint="eastAsia" w:ascii="Times New Roman" w:hAnsi="Times New Roman"/>
          <w:b/>
          <w:bCs/>
          <w:color w:val="000000"/>
          <w:sz w:val="24"/>
          <w:szCs w:val="24"/>
          <w:lang w:val="en-US" w:eastAsia="zh-CN"/>
        </w:rPr>
        <w:t>（注：该项废气环评批复意见为《合成树脂工业污染排放标准》（GB31572-2015）表9排放监控浓度限值，但根据《合成树脂工业污染排放标准》（GB31572-2015）表9排放监控浓度限值中没有颗粒物的排放浓度要求，所以本次验收根据环评报告表开料、焊接工序产生的颗粒物执行广东省《大气污染物排放限值》（DB44/27-2001）第二时段无组织排放标准执行）</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rPr>
          <w:rFonts w:hint="eastAsia" w:ascii="Times New Roman" w:hAnsi="Times New Roman" w:eastAsia="宋体"/>
          <w:color w:val="000000"/>
          <w:sz w:val="24"/>
          <w:szCs w:val="24"/>
          <w:lang w:val="en-US"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ascii="Times New Roman" w:hAnsi="Times New Roman"/>
          <w:sz w:val="24"/>
          <w:szCs w:val="24"/>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r>
        <w:rPr>
          <w:rFonts w:hint="eastAsia" w:ascii="Times New Roman" w:hAnsi="Times New Roman"/>
          <w:sz w:val="24"/>
          <w:szCs w:val="24"/>
          <w:lang w:eastAsia="zh-CN"/>
        </w:rPr>
        <w:t>见监测报告：</w:t>
      </w:r>
      <w:r>
        <w:rPr>
          <w:rFonts w:hint="eastAsia" w:ascii="Times New Roman" w:hAnsi="Times New Roman"/>
          <w:sz w:val="24"/>
          <w:szCs w:val="24"/>
          <w:lang w:val="en-US" w:eastAsia="zh-CN"/>
        </w:rPr>
        <w:t>ST20183214</w:t>
      </w:r>
      <w:r>
        <w:rPr>
          <w:rFonts w:hint="eastAsia" w:ascii="Times New Roman" w:hAnsi="Times New Roman"/>
          <w:sz w:val="24"/>
          <w:szCs w:val="24"/>
          <w:lang w:eastAsia="zh-CN"/>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项目不排放生产性废水，</w:t>
      </w:r>
      <w:r>
        <w:rPr>
          <w:rFonts w:hint="eastAsia" w:ascii="宋体" w:hAnsi="宋体"/>
          <w:sz w:val="24"/>
          <w:szCs w:val="24"/>
        </w:rPr>
        <w:t>生活污水</w:t>
      </w:r>
      <w:r>
        <w:rPr>
          <w:rFonts w:hint="eastAsia"/>
          <w:sz w:val="24"/>
          <w:szCs w:val="24"/>
        </w:rPr>
        <w:t>经三级化粪池预处理后</w:t>
      </w:r>
      <w:r>
        <w:rPr>
          <w:rFonts w:hint="eastAsia" w:ascii="宋体" w:hAnsi="宋体"/>
          <w:sz w:val="24"/>
          <w:szCs w:val="24"/>
        </w:rPr>
        <w:t>排入市政截污管网，引至</w:t>
      </w:r>
      <w:r>
        <w:rPr>
          <w:rFonts w:hint="eastAsia" w:ascii="宋体" w:hAnsi="宋体"/>
          <w:sz w:val="24"/>
          <w:szCs w:val="24"/>
          <w:lang w:eastAsia="zh-CN"/>
        </w:rPr>
        <w:t>城镇</w:t>
      </w:r>
      <w:r>
        <w:rPr>
          <w:rFonts w:hint="eastAsia" w:ascii="宋体" w:hAnsi="宋体"/>
          <w:sz w:val="24"/>
          <w:szCs w:val="24"/>
        </w:rPr>
        <w:t>污水处理厂处理；</w:t>
      </w:r>
      <w:r>
        <w:rPr>
          <w:rFonts w:hint="eastAsia" w:ascii="宋体" w:hAnsi="宋体"/>
          <w:sz w:val="24"/>
          <w:szCs w:val="24"/>
          <w:lang w:eastAsia="zh-CN"/>
        </w:rPr>
        <w:t>开料、焊接工序产生的废气加强车间机械通风，喷粉工序设置在密闭车间内，产生的废气收集后经布袋除尘器处理后达标排放，烤粉工序设置在密闭车间内，产生的废气经收集后，引至</w:t>
      </w:r>
      <w:r>
        <w:rPr>
          <w:rFonts w:hint="eastAsia" w:ascii="宋体" w:hAnsi="宋体"/>
          <w:sz w:val="24"/>
          <w:szCs w:val="24"/>
          <w:lang w:val="en-US" w:eastAsia="zh-CN"/>
        </w:rPr>
        <w:t>UV光解+活性炭吸附装</w:t>
      </w:r>
      <w:bookmarkStart w:id="0" w:name="_GoBack"/>
      <w:bookmarkEnd w:id="0"/>
      <w:r>
        <w:rPr>
          <w:rFonts w:hint="eastAsia" w:ascii="宋体" w:hAnsi="宋体"/>
          <w:sz w:val="24"/>
          <w:szCs w:val="24"/>
          <w:lang w:val="en-US" w:eastAsia="zh-CN"/>
        </w:rPr>
        <w:t>置处理后达标排放，</w:t>
      </w:r>
      <w:r>
        <w:rPr>
          <w:rFonts w:hint="eastAsia" w:ascii="Times New Roman" w:hAnsi="Times New Roman"/>
          <w:sz w:val="24"/>
          <w:szCs w:val="24"/>
        </w:rPr>
        <w:t>项目已做好生产设备的消声降噪措施，对周边环境不会产生明显的影响。</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和</w:t>
      </w:r>
      <w:r>
        <w:rPr>
          <w:rFonts w:hint="eastAsia" w:ascii="Times New Roman" w:hAnsi="Times New Roman"/>
          <w:sz w:val="24"/>
          <w:szCs w:val="24"/>
          <w:lang w:eastAsia="zh-CN"/>
        </w:rPr>
        <w:t>生活污水</w:t>
      </w:r>
      <w:r>
        <w:rPr>
          <w:rFonts w:hint="eastAsia" w:ascii="Times New Roman" w:hAnsi="Times New Roman"/>
          <w:sz w:val="24"/>
          <w:szCs w:val="24"/>
        </w:rPr>
        <w:t>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要求，验收监测报告总体符合相关技术规范，项目</w:t>
      </w:r>
      <w:r>
        <w:rPr>
          <w:rFonts w:hint="eastAsia" w:ascii="Times New Roman" w:hAnsi="Times New Roman"/>
          <w:sz w:val="24"/>
          <w:szCs w:val="24"/>
          <w:lang w:eastAsia="zh-CN"/>
        </w:rPr>
        <w:t>废水、废气、噪声通过验收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项目不从事夜间生产，如若项目需从事夜间生产，再向贵局申报夜间噪音达标验收。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FF"/>
          <w:sz w:val="24"/>
          <w:szCs w:val="24"/>
        </w:rPr>
        <w:t>验收小组成员（签名）：</w:t>
      </w: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环固五金工业设备</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2018-</w:t>
      </w:r>
      <w:r>
        <w:rPr>
          <w:rFonts w:hint="eastAsia" w:ascii="Times New Roman" w:hAnsi="Times New Roman"/>
          <w:sz w:val="24"/>
          <w:szCs w:val="24"/>
          <w:lang w:val="en-US" w:eastAsia="zh-CN"/>
        </w:rPr>
        <w:t>04</w:t>
      </w:r>
      <w:r>
        <w:rPr>
          <w:rFonts w:ascii="Times New Roman" w:hAnsi="Times New Roman"/>
          <w:sz w:val="24"/>
          <w:szCs w:val="24"/>
        </w:rPr>
        <w:t>-</w:t>
      </w:r>
      <w:r>
        <w:rPr>
          <w:rFonts w:hint="eastAsia" w:ascii="Times New Roman" w:hAnsi="Times New Roman"/>
          <w:sz w:val="24"/>
          <w:szCs w:val="24"/>
          <w:lang w:val="en-US" w:eastAsia="zh-CN"/>
        </w:rPr>
        <w:t>30</w:t>
      </w:r>
      <w:r>
        <w:rPr>
          <w:rFonts w:ascii="Times New Roman" w:hAnsi="Times New Roman"/>
          <w:sz w:val="24"/>
          <w:szCs w:val="24"/>
        </w:rPr>
        <w:t xml:space="preserve">    </w:t>
      </w: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hint="eastAsia" w:ascii="Times New Roman" w:hAnsi="Times New Roman"/>
          <w:b/>
          <w:sz w:val="28"/>
          <w:szCs w:val="28"/>
        </w:rPr>
      </w:pP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东莞市</w:t>
      </w:r>
      <w:r>
        <w:rPr>
          <w:rFonts w:hint="eastAsia" w:ascii="Times New Roman" w:hAnsi="Times New Roman"/>
          <w:b/>
          <w:sz w:val="28"/>
          <w:szCs w:val="28"/>
          <w:lang w:eastAsia="zh-CN"/>
        </w:rPr>
        <w:t>环固五金工业设备</w:t>
      </w:r>
      <w:r>
        <w:rPr>
          <w:rFonts w:hint="eastAsia" w:ascii="Times New Roman" w:hAnsi="Times New Roman"/>
          <w:b/>
          <w:sz w:val="28"/>
          <w:szCs w:val="28"/>
        </w:rPr>
        <w:t>有限公司项目</w:t>
      </w:r>
    </w:p>
    <w:p>
      <w:pPr>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竣工环保验收小组名单</w:t>
      </w:r>
    </w:p>
    <w:tbl>
      <w:tblPr>
        <w:tblStyle w:val="8"/>
        <w:tblW w:w="9165"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2115"/>
        <w:gridCol w:w="1680"/>
        <w:gridCol w:w="1260"/>
        <w:gridCol w:w="2160"/>
        <w:gridCol w:w="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2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姓名</w:t>
            </w:r>
          </w:p>
        </w:tc>
        <w:tc>
          <w:tcPr>
            <w:tcW w:w="2115"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工作单位</w:t>
            </w:r>
          </w:p>
        </w:tc>
        <w:tc>
          <w:tcPr>
            <w:tcW w:w="168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电话</w:t>
            </w:r>
          </w:p>
        </w:tc>
        <w:tc>
          <w:tcPr>
            <w:tcW w:w="126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职称</w:t>
            </w:r>
            <w:r>
              <w:rPr>
                <w:rFonts w:ascii="Times New Roman" w:hAnsi="Times New Roman"/>
                <w:b/>
                <w:sz w:val="24"/>
                <w:szCs w:val="24"/>
              </w:rPr>
              <w:t>/</w:t>
            </w:r>
            <w:r>
              <w:rPr>
                <w:rFonts w:hint="eastAsia" w:ascii="Times New Roman" w:hAnsi="Times New Roman"/>
                <w:b/>
                <w:sz w:val="24"/>
                <w:szCs w:val="24"/>
              </w:rPr>
              <w:t>职务</w:t>
            </w:r>
          </w:p>
        </w:tc>
        <w:tc>
          <w:tcPr>
            <w:tcW w:w="21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w:t>
            </w:r>
          </w:p>
        </w:tc>
        <w:tc>
          <w:tcPr>
            <w:tcW w:w="930" w:type="dxa"/>
            <w:vAlign w:val="center"/>
          </w:tcPr>
          <w:p>
            <w:pPr>
              <w:spacing w:line="360" w:lineRule="auto"/>
              <w:jc w:val="center"/>
              <w:rPr>
                <w:rFonts w:ascii="Times New Roman" w:hAnsi="Times New Roman"/>
                <w:b/>
                <w:sz w:val="24"/>
                <w:szCs w:val="24"/>
              </w:rPr>
            </w:pPr>
            <w:r>
              <w:rPr>
                <w:rFonts w:hint="eastAsia" w:ascii="Times New Roman" w:hAnsi="Times New Roman"/>
                <w:b/>
                <w:sz w:val="24"/>
                <w:szCs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8" w:hRule="atLeast"/>
        </w:trPr>
        <w:tc>
          <w:tcPr>
            <w:tcW w:w="1020" w:type="dxa"/>
            <w:vAlign w:val="center"/>
          </w:tcPr>
          <w:p>
            <w:pPr>
              <w:spacing w:line="360" w:lineRule="auto"/>
              <w:jc w:val="center"/>
              <w:rPr>
                <w:rFonts w:ascii="Times New Roman" w:hAnsi="Times New Roman"/>
                <w:sz w:val="24"/>
                <w:szCs w:val="24"/>
              </w:rPr>
            </w:pPr>
          </w:p>
        </w:tc>
        <w:tc>
          <w:tcPr>
            <w:tcW w:w="2115" w:type="dxa"/>
            <w:vAlign w:val="center"/>
          </w:tcPr>
          <w:p>
            <w:pPr>
              <w:spacing w:line="360" w:lineRule="auto"/>
              <w:rPr>
                <w:rFonts w:ascii="Times New Roman" w:hAnsi="Times New Roman"/>
                <w:sz w:val="24"/>
                <w:szCs w:val="24"/>
              </w:rPr>
            </w:pPr>
          </w:p>
        </w:tc>
        <w:tc>
          <w:tcPr>
            <w:tcW w:w="1680" w:type="dxa"/>
            <w:vAlign w:val="center"/>
          </w:tcPr>
          <w:p>
            <w:pPr>
              <w:spacing w:line="360" w:lineRule="auto"/>
              <w:jc w:val="center"/>
              <w:rPr>
                <w:rFonts w:ascii="Times New Roman" w:hAnsi="Times New Roman"/>
                <w:sz w:val="24"/>
                <w:szCs w:val="24"/>
              </w:rPr>
            </w:pPr>
          </w:p>
        </w:tc>
        <w:tc>
          <w:tcPr>
            <w:tcW w:w="1260" w:type="dxa"/>
            <w:vAlign w:val="center"/>
          </w:tcPr>
          <w:p>
            <w:pPr>
              <w:spacing w:line="360" w:lineRule="auto"/>
              <w:jc w:val="center"/>
              <w:rPr>
                <w:rFonts w:ascii="Times New Roman" w:hAnsi="Times New Roman"/>
                <w:sz w:val="24"/>
                <w:szCs w:val="24"/>
              </w:rPr>
            </w:pPr>
          </w:p>
        </w:tc>
        <w:tc>
          <w:tcPr>
            <w:tcW w:w="2160" w:type="dxa"/>
            <w:vAlign w:val="center"/>
          </w:tcPr>
          <w:p>
            <w:pPr>
              <w:spacing w:line="360" w:lineRule="auto"/>
              <w:jc w:val="center"/>
              <w:rPr>
                <w:rFonts w:ascii="Times New Roman" w:hAnsi="Times New Roman"/>
                <w:sz w:val="24"/>
                <w:szCs w:val="24"/>
              </w:rPr>
            </w:pPr>
          </w:p>
        </w:tc>
        <w:tc>
          <w:tcPr>
            <w:tcW w:w="930"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84F6F55"/>
    <w:rsid w:val="0C4F7409"/>
    <w:rsid w:val="10FF125F"/>
    <w:rsid w:val="114C068B"/>
    <w:rsid w:val="11E063F8"/>
    <w:rsid w:val="12C23CC5"/>
    <w:rsid w:val="147879F2"/>
    <w:rsid w:val="17612F61"/>
    <w:rsid w:val="191233B5"/>
    <w:rsid w:val="1A844C0F"/>
    <w:rsid w:val="1B2025A9"/>
    <w:rsid w:val="1E076408"/>
    <w:rsid w:val="230F59BE"/>
    <w:rsid w:val="23371744"/>
    <w:rsid w:val="261A3668"/>
    <w:rsid w:val="2DF453F1"/>
    <w:rsid w:val="318056D8"/>
    <w:rsid w:val="38272B4E"/>
    <w:rsid w:val="3932326C"/>
    <w:rsid w:val="394E2B23"/>
    <w:rsid w:val="3F567E42"/>
    <w:rsid w:val="46F70851"/>
    <w:rsid w:val="57085571"/>
    <w:rsid w:val="570867AC"/>
    <w:rsid w:val="5A907C97"/>
    <w:rsid w:val="5E53078B"/>
    <w:rsid w:val="642F65A2"/>
    <w:rsid w:val="67D61337"/>
    <w:rsid w:val="6A416597"/>
    <w:rsid w:val="706D2AE4"/>
    <w:rsid w:val="7B796FAE"/>
    <w:rsid w:val="7FE265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4"/>
    <w:semiHidden/>
    <w:qFormat/>
    <w:uiPriority w:val="99"/>
    <w:rPr>
      <w:rFonts w:ascii="宋体"/>
      <w:sz w:val="18"/>
      <w:szCs w:val="18"/>
    </w:rPr>
  </w:style>
  <w:style w:type="paragraph" w:styleId="3">
    <w:name w:val="annotation text"/>
    <w:basedOn w:val="1"/>
    <w:link w:val="12"/>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6"/>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qFormat/>
    <w:uiPriority w:val="99"/>
    <w:rPr>
      <w:b/>
      <w:bCs/>
    </w:rPr>
  </w:style>
  <w:style w:type="character" w:styleId="10">
    <w:name w:val="page number"/>
    <w:basedOn w:val="9"/>
    <w:qFormat/>
    <w:uiPriority w:val="99"/>
    <w:rPr>
      <w:rFonts w:cs="Times New Roman"/>
    </w:rPr>
  </w:style>
  <w:style w:type="character" w:styleId="11">
    <w:name w:val="annotation reference"/>
    <w:basedOn w:val="9"/>
    <w:semiHidden/>
    <w:qFormat/>
    <w:uiPriority w:val="99"/>
    <w:rPr>
      <w:rFonts w:cs="Times New Roman"/>
      <w:sz w:val="21"/>
      <w:szCs w:val="21"/>
    </w:rPr>
  </w:style>
  <w:style w:type="character" w:customStyle="1" w:styleId="12">
    <w:name w:val="Comment Text Char"/>
    <w:basedOn w:val="9"/>
    <w:link w:val="3"/>
    <w:semiHidden/>
    <w:qFormat/>
    <w:locked/>
    <w:uiPriority w:val="99"/>
    <w:rPr>
      <w:rFonts w:cs="Times New Roman"/>
    </w:rPr>
  </w:style>
  <w:style w:type="character" w:customStyle="1" w:styleId="13">
    <w:name w:val="Comment Subject Char"/>
    <w:basedOn w:val="12"/>
    <w:link w:val="7"/>
    <w:semiHidden/>
    <w:qFormat/>
    <w:locked/>
    <w:uiPriority w:val="99"/>
    <w:rPr>
      <w:b/>
      <w:bCs/>
    </w:rPr>
  </w:style>
  <w:style w:type="character" w:customStyle="1" w:styleId="14">
    <w:name w:val="Document Map Char"/>
    <w:basedOn w:val="9"/>
    <w:link w:val="2"/>
    <w:semiHidden/>
    <w:qFormat/>
    <w:locked/>
    <w:uiPriority w:val="99"/>
    <w:rPr>
      <w:rFonts w:ascii="宋体" w:eastAsia="宋体" w:cs="Times New Roman"/>
      <w:sz w:val="18"/>
      <w:szCs w:val="18"/>
    </w:rPr>
  </w:style>
  <w:style w:type="character" w:customStyle="1" w:styleId="15">
    <w:name w:val="Balloon Text Char"/>
    <w:basedOn w:val="9"/>
    <w:link w:val="4"/>
    <w:semiHidden/>
    <w:qFormat/>
    <w:locked/>
    <w:uiPriority w:val="99"/>
    <w:rPr>
      <w:rFonts w:cs="Times New Roman"/>
      <w:sz w:val="2"/>
    </w:rPr>
  </w:style>
  <w:style w:type="character" w:customStyle="1" w:styleId="16">
    <w:name w:val="Footer Char"/>
    <w:basedOn w:val="9"/>
    <w:link w:val="5"/>
    <w:semiHidden/>
    <w:qFormat/>
    <w:locked/>
    <w:uiPriority w:val="99"/>
    <w:rPr>
      <w:rFonts w:cs="Times New Roman"/>
      <w:sz w:val="18"/>
      <w:szCs w:val="18"/>
    </w:rPr>
  </w:style>
  <w:style w:type="character" w:customStyle="1" w:styleId="17">
    <w:name w:val="Header Char"/>
    <w:basedOn w:val="9"/>
    <w:link w:val="6"/>
    <w:semiHidden/>
    <w:qFormat/>
    <w:locked/>
    <w:uiPriority w:val="99"/>
    <w:rPr>
      <w:rFonts w:cs="Times New Roman"/>
      <w:sz w:val="18"/>
      <w:szCs w:val="18"/>
    </w:rPr>
  </w:style>
  <w:style w:type="paragraph" w:customStyle="1" w:styleId="18">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2019-06-12T06:43:08Z</cp:lastPrinted>
  <dcterms:modified xsi:type="dcterms:W3CDTF">2019-06-12T06:43:16Z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