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兴豪电子</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15</w:t>
      </w:r>
      <w:r>
        <w:rPr>
          <w:rFonts w:hint="eastAsia" w:ascii="Times New Roman"/>
          <w:sz w:val="24"/>
          <w:szCs w:val="24"/>
        </w:rPr>
        <w:t>日东莞市</w:t>
      </w:r>
      <w:r>
        <w:rPr>
          <w:rFonts w:hint="eastAsia" w:ascii="Times New Roman"/>
          <w:sz w:val="24"/>
          <w:szCs w:val="24"/>
          <w:lang w:eastAsia="zh-CN"/>
        </w:rPr>
        <w:t>兴豪电子</w:t>
      </w:r>
      <w:r>
        <w:rPr>
          <w:rFonts w:hint="eastAsia" w:ascii="Times New Roman"/>
          <w:sz w:val="24"/>
          <w:szCs w:val="24"/>
        </w:rPr>
        <w:t>有限公司根据东莞市</w:t>
      </w:r>
      <w:r>
        <w:rPr>
          <w:rFonts w:hint="eastAsia" w:ascii="Times New Roman"/>
          <w:sz w:val="24"/>
          <w:szCs w:val="24"/>
          <w:lang w:eastAsia="zh-CN"/>
        </w:rPr>
        <w:t>兴豪电子</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兴豪电子</w:t>
      </w:r>
      <w:r>
        <w:rPr>
          <w:rFonts w:hint="eastAsia" w:cs="Times New Roman"/>
        </w:rPr>
        <w:t>有限公司位于</w:t>
      </w:r>
      <w:r>
        <w:rPr>
          <w:rFonts w:hint="eastAsia" w:cs="Times New Roman"/>
          <w:color w:val="000000"/>
        </w:rPr>
        <w:t>东莞市</w:t>
      </w:r>
      <w:r>
        <w:rPr>
          <w:rFonts w:hint="eastAsia" w:cs="Times New Roman"/>
          <w:color w:val="000000"/>
          <w:lang w:eastAsia="zh-CN"/>
        </w:rPr>
        <w:t>虎门镇树田社区第一区</w:t>
      </w:r>
      <w:r>
        <w:rPr>
          <w:rFonts w:hint="eastAsia" w:cs="Times New Roman"/>
          <w:color w:val="000000"/>
          <w:lang w:val="en-US" w:eastAsia="zh-CN"/>
        </w:rPr>
        <w:t>4号2楼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14.88</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50.22</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1400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1400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4</w:t>
      </w:r>
      <w:r>
        <w:rPr>
          <w:rFonts w:cs="Times New Roman"/>
        </w:rPr>
        <w:t>00</w:t>
      </w:r>
      <w:r>
        <w:rPr>
          <w:rFonts w:hint="eastAsia" w:cs="Times New Roman"/>
        </w:rPr>
        <w:t>万元，设有员工</w:t>
      </w:r>
      <w:r>
        <w:rPr>
          <w:rFonts w:hint="eastAsia" w:cs="Times New Roman"/>
          <w:lang w:val="en-US" w:eastAsia="zh-CN"/>
        </w:rPr>
        <w:t>30</w:t>
      </w:r>
      <w:r>
        <w:rPr>
          <w:rFonts w:hint="eastAsia" w:cs="Times New Roman"/>
        </w:rPr>
        <w:t>人，主要</w:t>
      </w:r>
      <w:r>
        <w:rPr>
          <w:rFonts w:hint="eastAsia" w:cs="Times New Roman"/>
          <w:lang w:eastAsia="zh-CN"/>
        </w:rPr>
        <w:t>加工生产按键</w:t>
      </w:r>
      <w:r>
        <w:rPr>
          <w:rFonts w:hint="eastAsia" w:cs="Times New Roman"/>
        </w:rPr>
        <w:t>，年</w:t>
      </w:r>
      <w:r>
        <w:rPr>
          <w:rFonts w:hint="eastAsia" w:cs="Times New Roman"/>
          <w:lang w:eastAsia="zh-CN"/>
        </w:rPr>
        <w:t>加工生产按键</w:t>
      </w:r>
      <w:r>
        <w:rPr>
          <w:rFonts w:hint="eastAsia" w:cs="Times New Roman"/>
          <w:lang w:val="en-US" w:eastAsia="zh-CN"/>
        </w:rPr>
        <w:t>30万片</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兴豪电子</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11</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兴豪电子</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12848</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19</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4</w:t>
      </w:r>
      <w:r>
        <w:rPr>
          <w:rFonts w:ascii="Times New Roman" w:hAnsi="Times New Roman"/>
          <w:sz w:val="24"/>
        </w:rPr>
        <w:t>00</w:t>
      </w:r>
      <w:r>
        <w:rPr>
          <w:rFonts w:hint="eastAsia" w:ascii="Times New Roman"/>
          <w:sz w:val="24"/>
        </w:rPr>
        <w:t>万元，其中环保投资为</w:t>
      </w:r>
      <w:r>
        <w:rPr>
          <w:rFonts w:hint="eastAsia" w:ascii="Times New Roman" w:hAnsi="Times New Roman"/>
          <w:sz w:val="24"/>
          <w:lang w:val="en-US" w:eastAsia="zh-CN"/>
        </w:rPr>
        <w:t>9</w:t>
      </w:r>
      <w:r>
        <w:rPr>
          <w:rFonts w:hint="eastAsia" w:ascii="Times New Roman"/>
          <w:sz w:val="24"/>
        </w:rPr>
        <w:t>万元，占总投资的</w:t>
      </w:r>
      <w:r>
        <w:rPr>
          <w:rFonts w:hint="eastAsia" w:ascii="Times New Roman" w:hAnsi="Times New Roman"/>
          <w:sz w:val="24"/>
          <w:lang w:val="en-US" w:eastAsia="zh-CN"/>
        </w:rPr>
        <w:t>0.23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 xml:space="preserve">不排放生产性废水。水帘柜废水、喷淋废水（共 7.9t/a）经固定的收集设施收集后交给有资质单位处理。 </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喷漆、固化工序</w:t>
      </w:r>
      <w:r>
        <w:rPr>
          <w:rFonts w:hint="eastAsia" w:ascii="宋体" w:hAnsi="宋体" w:cs="宋体"/>
          <w:sz w:val="24"/>
          <w:szCs w:val="24"/>
          <w:lang w:eastAsia="zh-CN"/>
        </w:rPr>
        <w:t>设置</w:t>
      </w:r>
      <w:r>
        <w:rPr>
          <w:rFonts w:ascii="宋体" w:hAnsi="宋体" w:eastAsia="宋体" w:cs="宋体"/>
          <w:sz w:val="24"/>
          <w:szCs w:val="24"/>
        </w:rPr>
        <w:t>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处理后高空排放，</w:t>
      </w:r>
      <w:r>
        <w:rPr>
          <w:rFonts w:hint="eastAsia" w:ascii="宋体" w:hAnsi="宋体" w:cs="宋体"/>
          <w:sz w:val="24"/>
          <w:szCs w:val="24"/>
          <w:lang w:eastAsia="zh-CN"/>
        </w:rPr>
        <w:t>有机</w:t>
      </w:r>
      <w:r>
        <w:rPr>
          <w:rFonts w:ascii="宋体" w:hAnsi="宋体" w:eastAsia="宋体" w:cs="宋体"/>
          <w:sz w:val="24"/>
          <w:szCs w:val="24"/>
        </w:rPr>
        <w:t>废气排放执行广东省 《家具制造行业挥发性有机化合物排放标准》（DB44/814-2010）</w:t>
      </w:r>
      <w:bookmarkStart w:id="0" w:name="_GoBack"/>
      <w:bookmarkEnd w:id="0"/>
      <w:r>
        <w:rPr>
          <w:rFonts w:ascii="宋体" w:hAnsi="宋体" w:eastAsia="宋体" w:cs="宋体"/>
          <w:sz w:val="24"/>
          <w:szCs w:val="24"/>
        </w:rPr>
        <w:t>第Ⅱ时段排放限值。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 xml:space="preserve">不排放生产性废水。水帘柜废水、喷淋废水（共 7.9t/a）经固定的收集设施收集后交给有资质单位处理。 </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 （DB44/26-2001）第二时段三级标准后排入市政截污管网，引至东莞市虎门宁洲污水处理厂处理。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20190329001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喷漆、固化工序</w:t>
      </w:r>
      <w:r>
        <w:rPr>
          <w:rFonts w:hint="eastAsia" w:ascii="宋体" w:hAnsi="宋体" w:cs="宋体"/>
          <w:sz w:val="24"/>
          <w:szCs w:val="24"/>
          <w:lang w:eastAsia="zh-CN"/>
        </w:rPr>
        <w:t>设置</w:t>
      </w:r>
      <w:r>
        <w:rPr>
          <w:rFonts w:ascii="宋体" w:hAnsi="宋体" w:eastAsia="宋体" w:cs="宋体"/>
          <w:sz w:val="24"/>
          <w:szCs w:val="24"/>
        </w:rPr>
        <w:t>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 《家具制造行业挥发性有机化合物排放标准》（DB44/814-2010） 第Ⅱ时段排放限值。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20190329001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20190329001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不排放生产性废水。水帘柜废水、喷淋废水（共 7.9t/a）经固定的收集设施收集后交给有资质单位处理。生活污水经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Times New Roman" w:hAnsi="Times New Roman"/>
          <w:sz w:val="24"/>
          <w:szCs w:val="24"/>
        </w:rPr>
        <w:t>项目</w:t>
      </w:r>
      <w:r>
        <w:rPr>
          <w:rFonts w:ascii="宋体" w:hAnsi="宋体" w:eastAsia="宋体" w:cs="宋体"/>
          <w:sz w:val="24"/>
          <w:szCs w:val="24"/>
        </w:rPr>
        <w:t>喷漆、固化工序</w:t>
      </w:r>
      <w:r>
        <w:rPr>
          <w:rFonts w:hint="eastAsia" w:ascii="宋体" w:hAnsi="宋体" w:cs="宋体"/>
          <w:sz w:val="24"/>
          <w:szCs w:val="24"/>
          <w:lang w:eastAsia="zh-CN"/>
        </w:rPr>
        <w:t>设置</w:t>
      </w:r>
      <w:r>
        <w:rPr>
          <w:rFonts w:ascii="宋体" w:hAnsi="宋体" w:eastAsia="宋体" w:cs="宋体"/>
          <w:sz w:val="24"/>
          <w:szCs w:val="24"/>
        </w:rPr>
        <w:t>在密闭车间中进行，产生的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处理后高空排放，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兴豪电子</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05-15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兴豪电子</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BA92A15"/>
    <w:rsid w:val="3F3573BE"/>
    <w:rsid w:val="428D5ECB"/>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2019-05-15T00:29:07Z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